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bidi w:val="0"/>
        <w:ind w:left="0" w:hanging="0"/>
        <w:jc w:val="both"/>
        <w:outlineLvl w:val="0"/>
        <w:rPr/>
      </w:pPr>
      <w:r>
        <w:rPr/>
      </w:r>
    </w:p>
    <w:p>
      <w:pPr>
        <w:pStyle w:val="ConsPlusTitle"/>
        <w:bidi w:val="0"/>
        <w:ind w:left="0" w:hanging="0"/>
        <w:jc w:val="center"/>
        <w:rPr/>
      </w:pPr>
      <w:r>
        <w:rPr/>
        <w:t>ОТКРЫТОЕ АКЦИОНЕРНОЕ ОБЩЕСТВО "РОССИЙСКИЕ ЖЕЛЕЗНЫЕ ДОРОГИ"</w:t>
      </w:r>
    </w:p>
    <w:p>
      <w:pPr>
        <w:pStyle w:val="ConsPlusTitle"/>
        <w:bidi w:val="0"/>
        <w:ind w:left="0" w:hanging="0"/>
        <w:jc w:val="center"/>
        <w:rPr/>
      </w:pPr>
      <w:r>
        <w:rPr/>
      </w:r>
    </w:p>
    <w:p>
      <w:pPr>
        <w:pStyle w:val="ConsPlusTitle"/>
        <w:bidi w:val="0"/>
        <w:ind w:left="0" w:hanging="0"/>
        <w:jc w:val="center"/>
        <w:rPr/>
      </w:pPr>
      <w:r>
        <w:rPr/>
        <w:t>РАСПОРЯЖЕНИЕ</w:t>
      </w:r>
    </w:p>
    <w:p>
      <w:pPr>
        <w:pStyle w:val="ConsPlusTitle"/>
        <w:bidi w:val="0"/>
        <w:ind w:left="0" w:hanging="0"/>
        <w:jc w:val="center"/>
        <w:rPr/>
      </w:pPr>
      <w:r>
        <w:rPr/>
        <w:t>от 4 марта 2008 г. N 444р</w:t>
      </w:r>
    </w:p>
    <w:p>
      <w:pPr>
        <w:pStyle w:val="ConsPlusTitle"/>
        <w:bidi w:val="0"/>
        <w:ind w:left="0" w:hanging="0"/>
        <w:jc w:val="center"/>
        <w:rPr/>
      </w:pPr>
      <w:r>
        <w:rPr/>
      </w:r>
    </w:p>
    <w:p>
      <w:pPr>
        <w:pStyle w:val="ConsPlusTitle"/>
        <w:bidi w:val="0"/>
        <w:ind w:left="0" w:hanging="0"/>
        <w:jc w:val="center"/>
        <w:rPr/>
      </w:pPr>
      <w:r>
        <w:rPr/>
        <w:t>ОБ УТВЕРЖДЕНИИ СТАНДАРТОВ "СИСТЕМЫ УПРАВЛЕНИЯ</w:t>
      </w:r>
    </w:p>
    <w:p>
      <w:pPr>
        <w:pStyle w:val="ConsPlusTitle"/>
        <w:bidi w:val="0"/>
        <w:ind w:left="0" w:hanging="0"/>
        <w:jc w:val="center"/>
        <w:rPr/>
      </w:pPr>
      <w:r>
        <w:rPr/>
        <w:t>ЭФФЕКТИВНОСТЬЮ ПОСТАВОК"</w:t>
      </w:r>
    </w:p>
    <w:p>
      <w:pPr>
        <w:pStyle w:val="ConsPlusNormal"/>
        <w:bidi w:val="0"/>
        <w:jc w:val="left"/>
        <w:rPr>
          <w:b w:val="false"/>
          <w:b w:val="false"/>
        </w:rPr>
      </w:pPr>
      <w:r>
        <w:rPr>
          <w:b w:val="false"/>
        </w:rPr>
      </w:r>
    </w:p>
    <w:tbl>
      <w:tblPr>
        <w:tblW w:w="10207" w:type="dxa"/>
        <w:jc w:val="center"/>
        <w:tblInd w:w="0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207"/>
      </w:tblGrid>
      <w:tr>
        <w:trPr/>
        <w:tc>
          <w:tcPr>
            <w:tcW w:w="10207" w:type="dxa"/>
            <w:tcBorders>
              <w:left w:val="single" w:sz="24" w:space="0" w:color="CED3F1"/>
              <w:right w:val="single" w:sz="24" w:space="0" w:color="F4F3F8"/>
            </w:tcBorders>
            <w:shd w:color="auto" w:fill="F4F3F8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(в ред. распоряжений ОАО "РЖД" от 19.07.2017 </w:t>
            </w:r>
            <w:hyperlink r:id="rId2">
              <w:r>
                <w:rPr>
                  <w:color w:val="0000FF"/>
                </w:rPr>
                <w:t>N 1402р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10.07.2018 </w:t>
            </w:r>
            <w:hyperlink r:id="rId3">
              <w:r>
                <w:rPr>
                  <w:color w:val="0000FF"/>
                </w:rPr>
                <w:t>N 1459/р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  <w:widowControl w:val="false"/>
        <w:bidi w:val="0"/>
        <w:ind w:left="0" w:hanging="0"/>
        <w:jc w:val="center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В целях обеспечения согласованной деятельности структурных подразделений, филиалов, дочерних и зависимых обществ ОАО "РЖД" в процессе МТО и повышения эффективности поставок: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1. Утвердить и ввести в действие с 1 января 2009 года следующие стандарты ОАО "РЖД":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Абзацы второй - четвертый утратили силу. - </w:t>
      </w:r>
      <w:hyperlink r:id="rId4">
        <w:r>
          <w:rPr>
            <w:color w:val="0000FF"/>
          </w:rPr>
          <w:t>Распоряжение</w:t>
        </w:r>
      </w:hyperlink>
      <w:r>
        <w:rPr/>
        <w:t xml:space="preserve"> ОАО "РЖД" от 19.07.2017 N 1402р.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СТО РЖД 1.05.509.4-2008 "Система управления эффективностью поставок. Общие требования к поставщикам в области качества".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СТО РЖД 1.05.509.5-2008 "Система управления эффективностью поставок. Общие требования к отчетности поставщиков в области качества".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СТО РЖД 1.05.509.6-2008 "Система управления эффективностью поставок. Мотивация поставщиков и производителей ОАО "РЖД" к достижению превосходного качества продукции и услуг".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Абзацы восьмой - четырнадцатый утратили силу. - </w:t>
      </w:r>
      <w:hyperlink r:id="rId5">
        <w:r>
          <w:rPr>
            <w:color w:val="0000FF"/>
          </w:rPr>
          <w:t>Распоряжение</w:t>
        </w:r>
      </w:hyperlink>
      <w:r>
        <w:rPr/>
        <w:t xml:space="preserve"> ОАО "РЖД" от 19.07.2017 N 1402р.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Утратил силу. - </w:t>
      </w:r>
      <w:hyperlink r:id="rId6">
        <w:r>
          <w:rPr>
            <w:color w:val="0000FF"/>
          </w:rPr>
          <w:t>Распоряжение</w:t>
        </w:r>
      </w:hyperlink>
      <w:r>
        <w:rPr/>
        <w:t xml:space="preserve"> ОАО "РЖД" от 10.07.2018 N 1459/р.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Абзацы шестнадцатый - семнадцатый утратили силу. - </w:t>
      </w:r>
      <w:hyperlink r:id="rId7">
        <w:r>
          <w:rPr>
            <w:color w:val="0000FF"/>
          </w:rPr>
          <w:t>Распоряжение</w:t>
        </w:r>
      </w:hyperlink>
      <w:r>
        <w:rPr/>
        <w:t xml:space="preserve"> ОАО "РЖД" от 19.07.2017 N 1402р.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СТО РЖД 1.05.509.17-2008 "Система управления эффективностью поставок. Система оценки поставщиков".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СТО РЖД 1.05.509.18-2008 "Система управления эффективностью поставок. Порядок взаимодействия с поставщиками и производителями при выявлении несоответствий продукции и услуг".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Абзац утратил силу. - </w:t>
      </w:r>
      <w:hyperlink r:id="rId8">
        <w:r>
          <w:rPr>
            <w:color w:val="0000FF"/>
          </w:rPr>
          <w:t>Распоряжение</w:t>
        </w:r>
      </w:hyperlink>
      <w:r>
        <w:rPr/>
        <w:t xml:space="preserve"> ОАО "РЖД" от 19.07.2017 N 1402р.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2. Руководителям департаментов, филиалов и других структурных подразделений ОАО "РЖД" организовать изучение работниками подведомственных подразделений группы стандартов, утвержденных настоящим распоряжением.</w:t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bidi w:val="0"/>
        <w:ind w:left="0" w:hanging="0"/>
        <w:jc w:val="right"/>
        <w:rPr/>
      </w:pPr>
      <w:r>
        <w:rPr/>
        <w:t>Старший вице-президент</w:t>
      </w:r>
    </w:p>
    <w:p>
      <w:pPr>
        <w:pStyle w:val="ConsPlusNormal"/>
        <w:bidi w:val="0"/>
        <w:ind w:left="0" w:hanging="0"/>
        <w:jc w:val="right"/>
        <w:rPr/>
      </w:pPr>
      <w:r>
        <w:rPr/>
        <w:t>ОАО "РЖД"</w:t>
      </w:r>
    </w:p>
    <w:p>
      <w:pPr>
        <w:pStyle w:val="ConsPlusNormal"/>
        <w:bidi w:val="0"/>
        <w:ind w:left="0" w:hanging="0"/>
        <w:jc w:val="right"/>
        <w:rPr/>
      </w:pPr>
      <w:r>
        <w:rPr/>
        <w:t>Б.М.ЛАПИДУС</w:t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bidi w:val="0"/>
        <w:spacing w:before="100" w:after="100"/>
        <w:ind w:left="0" w:hanging="0"/>
        <w:jc w:val="both"/>
        <w:rPr/>
      </w:pPr>
      <w:r>
        <w:rPr/>
      </w:r>
    </w:p>
    <w:sectPr>
      <w:headerReference w:type="default" r:id="rId9"/>
      <w:headerReference w:type="first" r:id="rId10"/>
      <w:footerReference w:type="default" r:id="rId11"/>
      <w:footerReference w:type="first" r:id="rId12"/>
      <w:type w:val="nextPage"/>
      <w:pgSz w:w="11906" w:h="16838"/>
      <w:pgMar w:left="1133" w:right="566" w:header="0" w:top="1440" w:footer="0" w:bottom="1440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0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0"/>
      </w:pBdr>
      <w:bidi w:val="0"/>
      <w:jc w:val="center"/>
      <w:rPr>
        <w:sz w:val="1"/>
      </w:rPr>
    </w:pPr>
    <w:r>
      <w:rPr>
        <w:sz w:val="1"/>
      </w:rPr>
    </w:r>
  </w:p>
  <w:tbl>
    <w:tblPr>
      <w:tblW w:w="10207" w:type="dxa"/>
      <w:jc w:val="left"/>
      <w:tblInd w:w="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3368"/>
      <w:gridCol w:w="3469"/>
      <w:gridCol w:w="3370"/>
    </w:tblGrid>
    <w:tr>
      <w:trPr>
        <w:trHeight w:val="1663" w:hRule="exact"/>
      </w:trPr>
      <w:tc>
        <w:tcPr>
          <w:tcW w:w="3368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left"/>
            <w:rPr>
              <w:rFonts w:ascii="0" w:hAnsi="0"/>
              <w:b/>
              <w:b/>
              <w:i w:val="false"/>
              <w:i w:val="false"/>
              <w:color w:val="auto"/>
              <w:sz w:val="16"/>
            </w:rPr>
          </w:pPr>
          <w:r>
            <w:rPr/>
          </w:r>
        </w:p>
      </w:tc>
      <w:tc>
        <w:tcPr>
          <w:tcW w:w="3469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center"/>
            <w:rPr/>
          </w:pPr>
          <w:hyperlink r:id="rId1">
            <w:r>
              <w:rPr/>
            </w:r>
          </w:hyperlink>
        </w:p>
      </w:tc>
      <w:tc>
        <w:tcPr>
          <w:tcW w:w="3370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right"/>
            <w:rPr/>
          </w:pPr>
          <w:r>
            <w:rPr/>
          </w:r>
        </w:p>
      </w:tc>
    </w:tr>
  </w:tbl>
  <w:p>
    <w:pPr>
      <w:pStyle w:val="ConsPlusNormal"/>
      <w:widowControl w:val="false"/>
      <w:bidi w:val="0"/>
      <w:jc w:val="left"/>
      <w:rPr>
        <w:sz w:val="1"/>
      </w:rPr>
    </w:pPr>
    <w:r>
      <w:rPr>
        <w:sz w:val="1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0"/>
      </w:pBdr>
      <w:bidi w:val="0"/>
      <w:jc w:val="center"/>
      <w:rPr>
        <w:sz w:val="1"/>
      </w:rPr>
    </w:pPr>
    <w:r>
      <w:rPr>
        <w:sz w:val="1"/>
      </w:rPr>
    </w:r>
  </w:p>
  <w:tbl>
    <w:tblPr>
      <w:tblW w:w="10207" w:type="dxa"/>
      <w:jc w:val="left"/>
      <w:tblInd w:w="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3368"/>
      <w:gridCol w:w="3469"/>
      <w:gridCol w:w="3370"/>
    </w:tblGrid>
    <w:tr>
      <w:trPr>
        <w:trHeight w:val="1663" w:hRule="exact"/>
      </w:trPr>
      <w:tc>
        <w:tcPr>
          <w:tcW w:w="3368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left"/>
            <w:rPr>
              <w:rFonts w:ascii="0" w:hAnsi="0"/>
              <w:b/>
              <w:b/>
              <w:i w:val="false"/>
              <w:i w:val="false"/>
              <w:color w:val="auto"/>
              <w:sz w:val="16"/>
            </w:rPr>
          </w:pPr>
          <w:r>
            <w:rPr/>
          </w:r>
        </w:p>
      </w:tc>
      <w:tc>
        <w:tcPr>
          <w:tcW w:w="3469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center"/>
            <w:rPr/>
          </w:pPr>
          <w:hyperlink r:id="rId1">
            <w:r>
              <w:rPr/>
            </w:r>
          </w:hyperlink>
        </w:p>
      </w:tc>
      <w:tc>
        <w:tcPr>
          <w:tcW w:w="3370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right"/>
            <w:rPr/>
          </w:pPr>
          <w:r>
            <w:rPr/>
          </w:r>
        </w:p>
      </w:tc>
    </w:tr>
  </w:tbl>
  <w:p>
    <w:pPr>
      <w:pStyle w:val="ConsPlusNormal"/>
      <w:widowControl w:val="false"/>
      <w:bidi w:val="0"/>
      <w:jc w:val="left"/>
      <w:rPr>
        <w:sz w:val="1"/>
      </w:rPr>
    </w:pPr>
    <w:r>
      <w:rPr>
        <w:sz w:val="1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7" w:type="dxa"/>
      <w:jc w:val="left"/>
      <w:tblInd w:w="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5612"/>
      <w:gridCol w:w="512"/>
      <w:gridCol w:w="4083"/>
    </w:tblGrid>
    <w:tr>
      <w:trPr>
        <w:trHeight w:val="1683" w:hRule="exact"/>
      </w:trPr>
      <w:tc>
        <w:tcPr>
          <w:tcW w:w="5612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left"/>
            <w:rPr>
              <w:rFonts w:ascii="0" w:hAnsi="0"/>
              <w:b w:val="false"/>
              <w:b w:val="false"/>
              <w:i w:val="false"/>
              <w:i w:val="false"/>
              <w:sz w:val="16"/>
            </w:rPr>
          </w:pPr>
          <w:r>
            <w:rPr/>
          </w:r>
        </w:p>
      </w:tc>
      <w:tc>
        <w:tcPr>
          <w:tcW w:w="512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center"/>
            <w:rPr/>
          </w:pPr>
          <w:r>
            <w:rPr/>
          </w:r>
        </w:p>
      </w:tc>
      <w:tc>
        <w:tcPr>
          <w:tcW w:w="4083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right"/>
            <w:rPr>
              <w:rFonts w:ascii="0" w:hAnsi="0"/>
              <w:b w:val="false"/>
              <w:b w:val="false"/>
              <w:i w:val="false"/>
              <w:i w:val="false"/>
              <w:sz w:val="16"/>
            </w:rPr>
          </w:pPr>
          <w:r>
            <w:rPr/>
          </w:r>
        </w:p>
      </w:tc>
    </w:tr>
  </w:tbl>
  <w:p>
    <w:pPr>
      <w:pStyle w:val="ConsPlusNormal"/>
      <w:widowControl w:val="false"/>
      <w:pBdr>
        <w:bottom w:val="single" w:sz="12" w:space="0" w:color="000000"/>
      </w:pBdr>
      <w:bidi w:val="0"/>
      <w:jc w:val="center"/>
      <w:rPr>
        <w:sz w:val="1"/>
      </w:rPr>
    </w:pPr>
    <w:r>
      <w:rPr>
        <w:sz w:val="1"/>
      </w:rPr>
    </w:r>
  </w:p>
  <w:p>
    <w:pPr>
      <w:pStyle w:val="ConsPlusNormal"/>
      <w:bidi w:val="0"/>
      <w:jc w:val="center"/>
      <w:rPr/>
    </w:pPr>
    <w:r>
      <w:rPr>
        <w:sz w:val="10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7" w:type="dxa"/>
      <w:jc w:val="left"/>
      <w:tblInd w:w="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5612"/>
      <w:gridCol w:w="512"/>
      <w:gridCol w:w="4083"/>
    </w:tblGrid>
    <w:tr>
      <w:trPr>
        <w:trHeight w:val="1683" w:hRule="exact"/>
      </w:trPr>
      <w:tc>
        <w:tcPr>
          <w:tcW w:w="5612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left"/>
            <w:rPr>
              <w:rFonts w:ascii="0" w:hAnsi="0"/>
              <w:b w:val="false"/>
              <w:b w:val="false"/>
              <w:i w:val="false"/>
              <w:i w:val="false"/>
              <w:sz w:val="16"/>
            </w:rPr>
          </w:pPr>
          <w:r>
            <w:rPr/>
          </w:r>
        </w:p>
      </w:tc>
      <w:tc>
        <w:tcPr>
          <w:tcW w:w="512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center"/>
            <w:rPr/>
          </w:pPr>
          <w:r>
            <w:rPr/>
          </w:r>
        </w:p>
      </w:tc>
      <w:tc>
        <w:tcPr>
          <w:tcW w:w="4083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right"/>
            <w:rPr>
              <w:rFonts w:ascii="0" w:hAnsi="0"/>
              <w:b w:val="false"/>
              <w:b w:val="false"/>
              <w:i w:val="false"/>
              <w:i w:val="false"/>
              <w:sz w:val="16"/>
            </w:rPr>
          </w:pPr>
          <w:r>
            <w:rPr/>
          </w:r>
        </w:p>
      </w:tc>
    </w:tr>
  </w:tbl>
  <w:p>
    <w:pPr>
      <w:pStyle w:val="ConsPlusNormal"/>
      <w:widowControl w:val="false"/>
      <w:pBdr>
        <w:bottom w:val="single" w:sz="12" w:space="0" w:color="000000"/>
      </w:pBdr>
      <w:bidi w:val="0"/>
      <w:jc w:val="center"/>
      <w:rPr>
        <w:sz w:val="1"/>
      </w:rPr>
    </w:pPr>
    <w:r>
      <w:rPr>
        <w:sz w:val="1"/>
      </w:rPr>
    </w:r>
  </w:p>
  <w:p>
    <w:pPr>
      <w:pStyle w:val="ConsPlusNormal"/>
      <w:bidi w:val="0"/>
      <w:jc w:val="center"/>
      <w:rPr/>
    </w:pPr>
    <w:r>
      <w:rPr>
        <w:sz w:val="10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>
    <w:name w:val="ConsPlusNormal"/>
    <w:qFormat/>
    <w:pPr>
      <w:widowControl w:val="false"/>
      <w:bidi w:val="0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 w:val="false"/>
      <w:bidi w:val="0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 w:val="fals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18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 w:val="fals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 w:val="false"/>
      <w:bidi w:val="0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 w:val="false"/>
      <w:bidi w:val="0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Style20"/>
    <w:pPr/>
    <w:rPr/>
  </w:style>
  <w:style w:type="paragraph" w:styleId="Style22">
    <w:name w:val="Footer"/>
    <w:basedOn w:val="Style2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EXP&amp;n=702501&amp;date=18.01.2021&amp;demo=2&amp;dst=100006&amp;fld=134" TargetMode="External"/><Relationship Id="rId3" Type="http://schemas.openxmlformats.org/officeDocument/2006/relationships/hyperlink" Target="https://login.consultant.ru/link/?req=doc&amp;base=EXP&amp;n=721897&amp;date=18.01.2021&amp;demo=2&amp;dst=100007&amp;fld=134" TargetMode="External"/><Relationship Id="rId4" Type="http://schemas.openxmlformats.org/officeDocument/2006/relationships/hyperlink" Target="https://login.consultant.ru/link/?req=doc&amp;base=EXP&amp;n=702501&amp;date=18.01.2021&amp;demo=2&amp;dst=100006&amp;fld=134" TargetMode="External"/><Relationship Id="rId5" Type="http://schemas.openxmlformats.org/officeDocument/2006/relationships/hyperlink" Target="https://login.consultant.ru/link/?req=doc&amp;base=EXP&amp;n=702501&amp;date=18.01.2021&amp;demo=2&amp;dst=100006&amp;fld=134" TargetMode="External"/><Relationship Id="rId6" Type="http://schemas.openxmlformats.org/officeDocument/2006/relationships/hyperlink" Target="https://login.consultant.ru/link/?req=doc&amp;base=EXP&amp;n=721897&amp;date=18.01.2021&amp;demo=2&amp;dst=100007&amp;fld=134" TargetMode="External"/><Relationship Id="rId7" Type="http://schemas.openxmlformats.org/officeDocument/2006/relationships/hyperlink" Target="https://login.consultant.ru/link/?req=doc&amp;base=EXP&amp;n=702501&amp;date=18.01.2021&amp;demo=2&amp;dst=100006&amp;fld=134" TargetMode="External"/><Relationship Id="rId8" Type="http://schemas.openxmlformats.org/officeDocument/2006/relationships/hyperlink" Target="https://login.consultant.ru/link/?req=doc&amp;base=EXP&amp;n=702501&amp;date=18.01.2021&amp;demo=2&amp;dst=100006&amp;fld=134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LibreOffice/7.0.2.2$Windows_X86_64 LibreOffice_project/8349ace3c3162073abd90d81fd06dcfb6b36b994</Application>
  <Pages>2</Pages>
  <Words>239</Words>
  <Characters>1661</Characters>
  <CharactersWithSpaces>1878</CharactersWithSpaces>
  <Paragraphs>26</Paragraphs>
  <Company>КонсультантПлюс Версия 4018.00.50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2021-01-18T21:20:00Z</dcterms:created>
  <dc:creator/>
  <dc:description/>
  <dc:language>ru-RU</dc:language>
  <cp:lastModifiedBy/>
  <dcterms:modified xsi:type="dcterms:W3CDTF">2021-01-18T21:25:44Z</dcterms:modified>
  <cp:revision>1</cp:revision>
  <dc:subject/>
  <dc:title>Распоряжение ОАО "РЖД" от 04.03.2008 N 444р(ред. от 10.07.2018)"Об утверждении стандартов "Системы управления эффективностью поставок"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4018.00.50</vt:lpwstr>
  </property>
</Properties>
</file>