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ОТКРЫТОЕ АКЦИОНЕРНОЕ ОБЩЕСТВО "РОССИЙСКИЕ ЖЕЛЕЗНЫЕ ДОРОГИ"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РАСПОРЯЖЕНИЕ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22 июня 2012 г. N 1246р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 ВНЕСЕНИИ ИЗМЕНЕНИЙ В ПОЛОЖЕНИЕ О СИСТЕМЕ</w:t>
      </w:r>
    </w:p>
    <w:p>
      <w:pPr>
        <w:pStyle w:val="ConsPlusTitle"/>
        <w:bidi w:val="0"/>
        <w:ind w:left="0" w:hanging="0"/>
        <w:jc w:val="center"/>
        <w:rPr/>
      </w:pPr>
      <w:r>
        <w:rPr/>
        <w:t>ТЕХНИЧЕСКОГО ОБСЛУЖИВАНИЯ И РЕМОНТА ЛОКОМОТИВОВ ОАО "РЖД"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Для организации работ по продлению срока службы локомотивов и учета наличия, состояния и ремонта локомотивов с продленным сроком службы: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1. Внести с 1 июля 2012 года в </w:t>
      </w:r>
      <w:hyperlink r:id="rId2">
        <w:r>
          <w:rPr>
            <w:color w:val="0000FF"/>
          </w:rPr>
          <w:t>Положение</w:t>
        </w:r>
      </w:hyperlink>
      <w:r>
        <w:rPr/>
        <w:t xml:space="preserve"> о системе технического обслуживания и ремонта локомотивов ОАО "РЖД", утвержденное Распоряжением ОАО "РЖД" от 17 января 2005 г. N 3р (далее - Положение), следующие изменения: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а) </w:t>
      </w:r>
      <w:hyperlink r:id="rId3">
        <w:r>
          <w:rPr>
            <w:color w:val="0000FF"/>
          </w:rPr>
          <w:t>Пункт 2</w:t>
        </w:r>
      </w:hyperlink>
      <w:r>
        <w:rPr/>
        <w:t xml:space="preserve"> изложить в следующей редакции: "Виды технического обслуживания, ремонта и работ по продлению срока службы локомотивов ОАО "РЖД", их назначение и периодичность".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б) Дополнить </w:t>
      </w:r>
      <w:hyperlink r:id="rId4">
        <w:r>
          <w:rPr>
            <w:color w:val="0000FF"/>
          </w:rPr>
          <w:t>пункт 2.1</w:t>
        </w:r>
      </w:hyperlink>
      <w:r>
        <w:rPr/>
        <w:t xml:space="preserve"> абзацами следующего содержания: "Система работ по продлению назначенного срока службы локомотивов ОАО "РЖД" предусматривает следующие виды работ: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ПСС-1;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ПСС-2;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ПСС-3;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ПСС-4;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ПСС-5".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в) </w:t>
      </w:r>
      <w:hyperlink r:id="rId5">
        <w:r>
          <w:rPr>
            <w:color w:val="0000FF"/>
          </w:rPr>
          <w:t>Пункт 2.8</w:t>
        </w:r>
      </w:hyperlink>
      <w:r>
        <w:rPr/>
        <w:t xml:space="preserve"> дополнить абзацами следующего содержания: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"Комплекс работ ПСС - работы по реализации технического решения для продления назначенного срока службы локомотивов, который истек или истекает в течение календарного года. Комплекс работ ПСС выполняется в соответствии с инструктивными указаниями ИУ.15.01-10, ИУ.15.02-10, ИУ.15.03-10 при достижении локомотивом нормативного срока службы, установленного Техническими условиями заводов-изготовителей.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ПСС-1 - выполнение работ, предусмотренных инструктивными указаниями ИУ.15.01-10, ИУ.15.02-10, ИУ.15.03-10 и ремонтными руководствами на производство ремонтов в объеме ТР-1.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ПСС-2 - выполнение работ, предусмотренных инструктивными указаниями ИУ.15.01-10, ИУ.15.02-10, ИУ.15.03-10 и ремонтными руководствами на производство ремонтов в объеме ТР-2.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ПСС-3 - выполнение работ, предусмотренных инструктивными указаниями ИУ.15.01-10, ИУ.15.02-10, ИУ.15.03-10 и ремонтными руководствами на производство ремонтов в объеме ТР-3.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ПСС-4 - выполнение работ, предусмотренных инструктивными указаниями ИУ.15.01-10, ИУ.15.02-10, ИУ.15.03-10 и ремонтными руководствами на производство ремонтов в объеме СР.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Комплекс работ ПСС-5 - выполнение работ, предусмотренных инструктивными указаниями ИУ.15.01-10, ИУ.15.02-10, ИУ.15.03-10 и ремонтными руководствами на производство ремонтов в объеме КР".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г) </w:t>
      </w:r>
      <w:hyperlink r:id="rId6">
        <w:r>
          <w:rPr>
            <w:color w:val="0000FF"/>
          </w:rPr>
          <w:t>Пункт 3</w:t>
        </w:r>
      </w:hyperlink>
      <w:r>
        <w:rPr/>
        <w:t xml:space="preserve"> изложить в следующей редакции: "Порядок планирования и учет технического обслуживания, ремонта и работ по продлению срока службы локомотивов".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д) </w:t>
      </w:r>
      <w:hyperlink r:id="rId7">
        <w:r>
          <w:rPr>
            <w:color w:val="0000FF"/>
          </w:rPr>
          <w:t>Дополнить</w:t>
        </w:r>
      </w:hyperlink>
      <w:r>
        <w:rPr/>
        <w:t xml:space="preserve"> пунктом 3.5 следующего содержания: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"3.5. После выполнения комплекса работ ПСС-1 пробег локомотива учитывается от даты окончания работ как от ремонта ТР-1, комплекса работ ПСС-2 - от ремонта ТР-2, ПСС-3 - от ремонта ТР-3, ПСС-4 - от ремонта СР, ПСС-5 - от ремонта КР. Периоды времени нахождения локомотивов на ПСС-1, ПСС-2, ПСС-3, ПСС-4 в условиях депо учитываются на деповском проценте неисправных, а ПСС-4 и ПСС-5 в условиях завода или сторонних организациях - на заводском проценте неисправных".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е) </w:t>
      </w:r>
      <w:hyperlink r:id="rId8">
        <w:r>
          <w:rPr>
            <w:color w:val="0000FF"/>
          </w:rPr>
          <w:t>Пункт 4</w:t>
        </w:r>
      </w:hyperlink>
      <w:r>
        <w:rPr/>
        <w:t xml:space="preserve"> изложить в следующей редакции: "Нормирование продолжительности и трудоемкости технического обслуживания, ремонта и работ по продлению срока службы локомотивов в локомотивных депо".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ж) </w:t>
      </w:r>
      <w:hyperlink r:id="rId9">
        <w:r>
          <w:rPr>
            <w:color w:val="0000FF"/>
          </w:rPr>
          <w:t>дополнить</w:t>
        </w:r>
      </w:hyperlink>
      <w:r>
        <w:rPr/>
        <w:t xml:space="preserve"> пунктом 4.9 следующего содержания: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"4.9. Норму продолжительности ПСС-1, ПСС-2 установить равную продолжительности текущего ремонта в объеме ТР-3. Норму продолжительности ПСС-3, ПСС-4 в условиях депо установить на 20% выше нормы продолжительности ремонта в объеме ТР-3".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2. Генеральному директору ОАО "ВНИКТИ" Коссову В.С. (по согласованию) внести соответствующие изменения в стандарт ОАО "РЖД" СТО 1.09.003-2007 "Локомотивы. Порядок продления назначенного срока службы", утвержденный </w:t>
      </w:r>
      <w:hyperlink r:id="rId10">
        <w:r>
          <w:rPr>
            <w:color w:val="0000FF"/>
          </w:rPr>
          <w:t>Распоряжением</w:t>
        </w:r>
      </w:hyperlink>
      <w:r>
        <w:rPr/>
        <w:t xml:space="preserve"> ОАО "РЖД" от 21.01.2008 N 67р.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 Начальнику департамента по организации, оплате и мотивации труда Саратову С.Ю. включить в план работ по исследованию, разработке и совершенствованию нормативных материалов по труду ОАО "РЖД" разработку временных нормативов трудоемкости ПСС-1, ПСС-2, ПСС-3, ПСС-4 с началом работ в 2013 году.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4. Первому заместителю начальника Дирекции тяги Мишину С.П., начальнику Дирекции по ремонту тягового подвижного состава Лубягову А.М., генеральному директору ОАО "Желдорреммаш" Тишаеву А.С. (по согласованию) пересмотреть в установленном порядке первичные учетные и отчетные формы статистической отчетности по локомотивному хозяйству с отражением в них новых состояний локомотивов.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 Контроль за исполнением настоящего распоряжения возложить на вице-президента Воротилкина А.В.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Первый вице-президент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В.МОРОЗОВ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headerReference w:type="default" r:id="rId11"/>
      <w:headerReference w:type="first" r:id="rId12"/>
      <w:footerReference w:type="default" r:id="rId13"/>
      <w:footerReference w:type="first" r:id="rId14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/>
              <w:b/>
              <w:i w:val="false"/>
              <w:i w:val="false"/>
              <w:color w:val="auto"/>
              <w:sz w:val="16"/>
            </w:rPr>
          </w:pPr>
          <w:r>
            <w:rPr/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/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ОАО "РЖД" от 22.06.2012 N 1246р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внесении изменений в Положение о системе технического обслуживания и рем...</w:t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ОАО "РЖД" от 22.06.2012 N 1246р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внесении изменений в Положение о системе технического обслуживания и рем...</w:t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EXP&amp;n=547245&amp;date=18.02.2021&amp;demo=2&amp;dst=100005&amp;fld=134" TargetMode="External"/><Relationship Id="rId3" Type="http://schemas.openxmlformats.org/officeDocument/2006/relationships/hyperlink" Target="https://login.consultant.ru/link/?req=doc&amp;base=OTN&amp;n=15944&amp;date=18.02.2021&amp;demo=2&amp;dst=100021&amp;fld=134" TargetMode="External"/><Relationship Id="rId4" Type="http://schemas.openxmlformats.org/officeDocument/2006/relationships/hyperlink" Target="https://login.consultant.ru/link/?req=doc&amp;base=OTN&amp;n=15944&amp;date=18.02.2021&amp;demo=2&amp;dst=100022&amp;fld=134" TargetMode="External"/><Relationship Id="rId5" Type="http://schemas.openxmlformats.org/officeDocument/2006/relationships/hyperlink" Target="https://login.consultant.ru/link/?req=doc&amp;base=OTN&amp;n=15944&amp;date=18.02.2021&amp;demo=2&amp;dst=100045&amp;fld=134" TargetMode="External"/><Relationship Id="rId6" Type="http://schemas.openxmlformats.org/officeDocument/2006/relationships/hyperlink" Target="https://login.consultant.ru/link/?req=doc&amp;base=OTN&amp;n=15944&amp;date=18.02.2021&amp;demo=2&amp;dst=100090&amp;fld=134" TargetMode="External"/><Relationship Id="rId7" Type="http://schemas.openxmlformats.org/officeDocument/2006/relationships/hyperlink" Target="https://login.consultant.ru/link/?req=doc&amp;base=OTN&amp;n=15944&amp;date=18.02.2021&amp;demo=2&amp;dst=100090&amp;fld=134" TargetMode="External"/><Relationship Id="rId8" Type="http://schemas.openxmlformats.org/officeDocument/2006/relationships/hyperlink" Target="https://login.consultant.ru/link/?req=doc&amp;base=OTN&amp;n=15944&amp;date=18.02.2021&amp;demo=2&amp;dst=100097&amp;fld=134" TargetMode="External"/><Relationship Id="rId9" Type="http://schemas.openxmlformats.org/officeDocument/2006/relationships/hyperlink" Target="https://login.consultant.ru/link/?req=doc&amp;base=OTN&amp;n=15944&amp;date=18.02.2021&amp;demo=2&amp;dst=100097&amp;fld=134" TargetMode="External"/><Relationship Id="rId10" Type="http://schemas.openxmlformats.org/officeDocument/2006/relationships/hyperlink" Target="https://login.consultant.ru/link/?req=doc&amp;base=EXP&amp;n=561406&amp;date=18.02.2021&amp;demo=2&amp;dst=100005&amp;fld=134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3</Pages>
  <Words>639</Words>
  <Characters>4313</Characters>
  <CharactersWithSpaces>4915</CharactersWithSpaces>
  <Paragraphs>41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2021-02-18T22:01:00Z</dcterms:created>
  <dc:creator/>
  <dc:description/>
  <dc:language>ru-RU</dc:language>
  <cp:lastModifiedBy/>
  <dcterms:modified xsi:type="dcterms:W3CDTF">2021-02-21T18:50:21Z</dcterms:modified>
  <cp:revision>1</cp:revision>
  <dc:subject/>
  <dc:title>Распоряжение ОАО "РЖД" от 22.06.2012 N 1246р"О внесении изменений в Положение о системе технического обслуживания и ремонта локомотивов ОАО "РЖД"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