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bidi w:val="0"/>
        <w:ind w:left="0" w:firstLine="540"/>
        <w:jc w:val="both"/>
        <w:outlineLvl w:val="0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ОТКРЫТОЕ АКЦИОНЕРНОЕ ОБЩЕСТВО "РОССИЙСКИЕ ЖЕЛЕЗНЫЕ ДОРОГИ"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РАСПОРЯЖЕНИЕ</w:t>
      </w:r>
    </w:p>
    <w:p>
      <w:pPr>
        <w:pStyle w:val="ConsPlusTitle"/>
        <w:bidi w:val="0"/>
        <w:ind w:left="0" w:hanging="0"/>
        <w:jc w:val="center"/>
        <w:rPr/>
      </w:pPr>
      <w:r>
        <w:rPr/>
        <w:t>от 23 января 2014 г. N 124р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АЛЬБОМА ТИПОВЫХ ФОРМ АКТОВ ОБЩЕЙ ФОРМЫ,</w:t>
      </w:r>
    </w:p>
    <w:p>
      <w:pPr>
        <w:pStyle w:val="ConsPlusTitle"/>
        <w:bidi w:val="0"/>
        <w:ind w:left="0" w:hanging="0"/>
        <w:jc w:val="center"/>
        <w:rPr/>
      </w:pPr>
      <w:r>
        <w:rPr/>
        <w:t>УДОСТОВЕРЯЮЩИХ ЗАДЕРЖКУ ГРУЖЕНЫХ И ПОРОЖНИХ</w:t>
      </w:r>
    </w:p>
    <w:p>
      <w:pPr>
        <w:pStyle w:val="ConsPlusTitle"/>
        <w:bidi w:val="0"/>
        <w:ind w:left="0" w:hanging="0"/>
        <w:jc w:val="center"/>
        <w:rPr/>
      </w:pPr>
      <w:r>
        <w:rPr/>
        <w:t>СОБСТВЕННЫХ ВАГОНОВ</w:t>
      </w:r>
    </w:p>
    <w:p>
      <w:pPr>
        <w:pStyle w:val="ConsPlusNormal"/>
        <w:bidi w:val="0"/>
        <w:ind w:left="0" w:hanging="0"/>
        <w:jc w:val="center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>В целях обеспечения полного и комплексного оформления причин, повлекших задержку в пути следования вагонов и поездов, снижения убытков ОАО "РЖД" и защиты интересов Компании: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1. Утвердить прилагаемый Альбом типовых форм актов общей формы, удостоверяющих задержку груженных и порожних собственных вагонов (не приводится).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2. Начальникам дирекций управления движением, руководителям причастных филиалов и структурных подразделений ОАО "РЖД" обеспечить в установленном порядке изучение типовых форм причастными работниками и использование в работе.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Старший вице-президент ОАО "РЖД"</w:t>
      </w:r>
    </w:p>
    <w:p>
      <w:pPr>
        <w:pStyle w:val="ConsPlusNormal"/>
        <w:bidi w:val="0"/>
        <w:ind w:left="0" w:hanging="0"/>
        <w:jc w:val="right"/>
        <w:rPr/>
      </w:pPr>
      <w:r>
        <w:rPr/>
        <w:t>А.А.КРАСНОЩЕК</w:t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left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3" w:right="566" w:header="0" w:top="1440" w:footer="0" w:bottom="1440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0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69"/>
      <w:gridCol w:w="3370"/>
    </w:tblGrid>
    <w:tr>
      <w:trPr>
        <w:trHeight w:val="1663" w:hRule="exact"/>
      </w:trPr>
      <w:tc>
        <w:tcPr>
          <w:tcW w:w="3368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69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hyperlink r:id="rId1">
            <w:r>
              <w:rPr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70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ConsPlusNormal"/>
      <w:widowControl w:val="false"/>
      <w:bidi w:val="0"/>
      <w:jc w:val="left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ОАО "РЖД" от 23.01.2014 N 124р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Альбома типовых форм актов общей формы, удостоверяющих задер...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09.11.2020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Layout w:type="fixed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2"/>
      <w:gridCol w:w="4083"/>
    </w:tblGrid>
    <w:tr>
      <w:trPr>
        <w:trHeight w:val="1683" w:hRule="exact"/>
      </w:trPr>
      <w:tc>
        <w:tcPr>
          <w:tcW w:w="56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/>
            <w:drawing>
              <wp:inline distT="0" distB="0" distL="0" distR="0">
                <wp:extent cx="1270000" cy="298450"/>
                <wp:effectExtent l="0" t="0" r="0" b="0"/>
                <wp:docPr id="1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Распоряжение ОАО "РЖД" от 23.01.2014 N 124р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Альбома типовых форм актов общей формы, удостоверяющих задер...</w:t>
          </w:r>
        </w:p>
      </w:tc>
      <w:tc>
        <w:tcPr>
          <w:tcW w:w="512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jc w:val="center"/>
            <w:rPr/>
          </w:pPr>
          <w:r>
            <w:rPr/>
          </w:r>
        </w:p>
      </w:tc>
      <w:tc>
        <w:tcPr>
          <w:tcW w:w="4083" w:type="dxa"/>
          <w:tcBorders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2">
            <w:r>
              <w:rPr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09.11.2020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jc w:val="center"/>
      <w:rPr>
        <w:sz w:val="1"/>
      </w:rPr>
    </w:pPr>
    <w:r>
      <w:rPr>
        <w:sz w:val="1"/>
      </w:rPr>
    </w:r>
  </w:p>
  <w:p>
    <w:pPr>
      <w:pStyle w:val="ConsPlusNormal"/>
      <w:bidi w:val="0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LibreOffice/7.0.2.2$Windows_X86_64 LibreOffice_project/8349ace3c3162073abd90d81fd06dcfb6b36b994</Application>
  <Pages>1</Pages>
  <Words>166</Words>
  <Characters>1181</Characters>
  <CharactersWithSpaces>1328</CharactersWithSpaces>
  <Paragraphs>24</Paragraphs>
  <Company>КонсультантПлюс Версия 4018.00.50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2020-11-09T21:38:00Z</dcterms:created>
  <dc:creator/>
  <dc:description/>
  <dc:language>ru-RU</dc:language>
  <cp:lastModifiedBy/>
  <cp:revision>0</cp:revision>
  <dc:subject/>
  <dc:title>Распоряжение ОАО "РЖД" от 23.01.2014 N 124р"Об утверждении Альбома типовых форм актов общей формы, удостоверяющих задержку груженых и порожних собственных вагонов"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4018.00.50</vt:lpwstr>
  </property>
</Properties>
</file>