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17CAA" w:rsidRDefault="00FA36D0">
      <w:pPr>
        <w:pStyle w:val="1"/>
        <w:rPr>
          <w:color w:val="auto"/>
        </w:rPr>
      </w:pPr>
      <w:r w:rsidRPr="00B17CAA">
        <w:rPr>
          <w:rStyle w:val="a4"/>
          <w:b w:val="0"/>
          <w:bCs w:val="0"/>
          <w:color w:val="auto"/>
        </w:rPr>
        <w:t>Распоряжение ОАО "РЖД" от 23 декабря 2013 г. N 2859р "О разработке, соглас</w:t>
      </w:r>
      <w:r w:rsidRPr="00B17CAA">
        <w:rPr>
          <w:rStyle w:val="a4"/>
          <w:b w:val="0"/>
          <w:bCs w:val="0"/>
          <w:color w:val="auto"/>
        </w:rPr>
        <w:t xml:space="preserve">овании и утверждении в ОАО "РЖД" Инструкции о порядке обслуживания и организации движения на железнодорожном пути необщего пользования, а также железнодорожном пути, находящемся в ведении функционального филиала или структурного подразделения ОАО "РЖД" (с </w:t>
      </w:r>
      <w:r w:rsidRPr="00B17CAA">
        <w:rPr>
          <w:rStyle w:val="a4"/>
          <w:b w:val="0"/>
          <w:bCs w:val="0"/>
          <w:color w:val="auto"/>
        </w:rPr>
        <w:t>изменениями и дополнениями)</w:t>
      </w:r>
    </w:p>
    <w:p w:rsidR="00000000" w:rsidRPr="00B17CAA" w:rsidRDefault="00FA36D0">
      <w:pPr>
        <w:pStyle w:val="1"/>
        <w:rPr>
          <w:color w:val="auto"/>
        </w:rPr>
      </w:pPr>
      <w:r w:rsidRPr="00B17CAA">
        <w:rPr>
          <w:color w:val="auto"/>
        </w:rPr>
        <w:t>Распоряжение ОАО "РЖД" от 23 декабря 2013 г. N 2859р</w:t>
      </w:r>
      <w:r w:rsidRPr="00B17CAA">
        <w:rPr>
          <w:color w:val="auto"/>
        </w:rPr>
        <w:br/>
        <w:t>"О разработке, согласовании и утверждении в ОАО "РЖД" Инструкции о порядке обслуживания и организации движения на железнодорожном пути необщего пользования, а также железно</w:t>
      </w:r>
      <w:r w:rsidRPr="00B17CAA">
        <w:rPr>
          <w:color w:val="auto"/>
        </w:rPr>
        <w:t>дорожном пути, находящемся в ведении функционального филиала или структурного подразделения ОАО "РЖД"</w:t>
      </w:r>
    </w:p>
    <w:p w:rsidR="00000000" w:rsidRPr="00B17CAA" w:rsidRDefault="00FA36D0">
      <w:pPr>
        <w:pStyle w:val="ab"/>
        <w:rPr>
          <w:color w:val="auto"/>
        </w:rPr>
      </w:pPr>
      <w:r w:rsidRPr="00B17CAA">
        <w:rPr>
          <w:color w:val="auto"/>
        </w:rPr>
        <w:t>С изменениями и дополнениями от:</w:t>
      </w:r>
    </w:p>
    <w:p w:rsidR="00000000" w:rsidRPr="00B17CAA" w:rsidRDefault="00FA36D0">
      <w:pPr>
        <w:pStyle w:val="a9"/>
        <w:rPr>
          <w:color w:val="auto"/>
          <w:shd w:val="clear" w:color="auto" w:fill="EAEFED"/>
        </w:rPr>
      </w:pPr>
      <w:r w:rsidRPr="00B17CAA">
        <w:rPr>
          <w:color w:val="auto"/>
        </w:rPr>
        <w:t xml:space="preserve"> </w:t>
      </w:r>
      <w:r w:rsidRPr="00B17CAA">
        <w:rPr>
          <w:color w:val="auto"/>
          <w:shd w:val="clear" w:color="auto" w:fill="EAEFED"/>
        </w:rPr>
        <w:t>8 августа, 26 декабря 2016 г.</w:t>
      </w:r>
    </w:p>
    <w:p w:rsidR="00000000" w:rsidRPr="00B17CAA" w:rsidRDefault="00FA36D0"/>
    <w:p w:rsidR="00000000" w:rsidRPr="00B17CAA" w:rsidRDefault="00FA36D0">
      <w:r w:rsidRPr="00B17CAA">
        <w:t xml:space="preserve">В целях усовершенствования единого порядка по разработке, согласованию и утверждению Инструкции о порядке обслуживания и организации движения на железнодорожном пути необщего пользования, железнодорожном пути, находящемся в ведении функционального филиала </w:t>
      </w:r>
      <w:r w:rsidRPr="00B17CAA">
        <w:t>или структурного подразделения ОАО "РЖД" и не являющемся железнодорожным путем необщего пользования:</w:t>
      </w:r>
    </w:p>
    <w:p w:rsidR="00000000" w:rsidRPr="00B17CAA" w:rsidRDefault="00FA36D0">
      <w:bookmarkStart w:id="0" w:name="sub_1"/>
      <w:r w:rsidRPr="00B17CAA">
        <w:t>1. Утвердить и ввести в действие прилагаемые:</w:t>
      </w:r>
    </w:p>
    <w:p w:rsidR="00000000" w:rsidRPr="00B17CAA" w:rsidRDefault="00FA36D0">
      <w:bookmarkStart w:id="1" w:name="sub_11"/>
      <w:bookmarkEnd w:id="0"/>
      <w:r w:rsidRPr="00B17CAA">
        <w:t xml:space="preserve">1.1. </w:t>
      </w:r>
      <w:r w:rsidRPr="00B17CAA">
        <w:rPr>
          <w:rStyle w:val="a4"/>
          <w:color w:val="auto"/>
        </w:rPr>
        <w:t>Порядок</w:t>
      </w:r>
      <w:r w:rsidRPr="00B17CAA">
        <w:t xml:space="preserve"> разработки, согласования и утверждения в ОАО "РЖД" </w:t>
      </w:r>
      <w:r w:rsidRPr="00B17CAA">
        <w:rPr>
          <w:rStyle w:val="a4"/>
          <w:color w:val="auto"/>
        </w:rPr>
        <w:t>инструкции</w:t>
      </w:r>
      <w:r w:rsidRPr="00B17CAA">
        <w:t xml:space="preserve"> о порядке обслуживания и организации движения на железнодорожном пути необщего пользования, а также железнодорожном пути, находящемся в ведении функционального филиала или структурного подразделения ОАО "РЖД" (далее - Поря</w:t>
      </w:r>
      <w:r w:rsidRPr="00B17CAA">
        <w:t>док).</w:t>
      </w:r>
    </w:p>
    <w:p w:rsidR="00000000" w:rsidRPr="00B17CAA" w:rsidRDefault="00FA36D0">
      <w:bookmarkStart w:id="2" w:name="sub_12"/>
      <w:bookmarkEnd w:id="1"/>
      <w:r w:rsidRPr="00B17CAA">
        <w:t xml:space="preserve">1.2. </w:t>
      </w:r>
      <w:r w:rsidRPr="00B17CAA">
        <w:rPr>
          <w:rStyle w:val="a4"/>
          <w:color w:val="auto"/>
        </w:rPr>
        <w:t>Инструкцию</w:t>
      </w:r>
      <w:r w:rsidRPr="00B17CAA">
        <w:t xml:space="preserve"> о порядке обслуживания и организации движения на железнодорожном пути необщего пользования, принадлежащем ОАО "РЖД", а также железнодорожном пути, находящемся в ведении функционального филиала или</w:t>
      </w:r>
      <w:r w:rsidRPr="00B17CAA">
        <w:t xml:space="preserve"> структурного подразделения ОАО "РЖД" (далее - Инструкция).</w:t>
      </w:r>
    </w:p>
    <w:p w:rsidR="00000000" w:rsidRPr="00B17CAA" w:rsidRDefault="00FA36D0">
      <w:bookmarkStart w:id="3" w:name="sub_2"/>
      <w:bookmarkEnd w:id="2"/>
      <w:r w:rsidRPr="00B17CAA">
        <w:t xml:space="preserve">2. Руководителям функциональных филиалов и структурных подразделений ОАО "РЖД" довести </w:t>
      </w:r>
      <w:r w:rsidRPr="00B17CAA">
        <w:rPr>
          <w:rStyle w:val="a4"/>
          <w:color w:val="auto"/>
        </w:rPr>
        <w:t>Порядок</w:t>
      </w:r>
      <w:r w:rsidRPr="00B17CAA">
        <w:t xml:space="preserve"> и </w:t>
      </w:r>
      <w:r w:rsidRPr="00B17CAA">
        <w:rPr>
          <w:rStyle w:val="a4"/>
          <w:color w:val="auto"/>
        </w:rPr>
        <w:t>Инструкцию</w:t>
      </w:r>
      <w:r w:rsidRPr="00B17CAA">
        <w:t xml:space="preserve"> до сведения причастных ра</w:t>
      </w:r>
      <w:r w:rsidRPr="00B17CAA">
        <w:t>ботников, владельцев и пользователей железнодорожных путей необщего пользования, железнодорожных путей, находящихся в ведении функциональных филиалов или структурных подразделений ОАО "РЖД", обеспечить соблюдение установленного Порядка.</w:t>
      </w:r>
    </w:p>
    <w:p w:rsidR="00000000" w:rsidRPr="00B17CAA" w:rsidRDefault="00FA36D0">
      <w:bookmarkStart w:id="4" w:name="sub_3"/>
      <w:bookmarkEnd w:id="3"/>
      <w:r w:rsidRPr="00B17CAA">
        <w:t>3. Призна</w:t>
      </w:r>
      <w:r w:rsidRPr="00B17CAA">
        <w:t xml:space="preserve">ть утратившим силу </w:t>
      </w:r>
      <w:r w:rsidRPr="00B17CAA">
        <w:rPr>
          <w:rStyle w:val="a4"/>
          <w:color w:val="auto"/>
        </w:rPr>
        <w:t>Распоряжение</w:t>
      </w:r>
      <w:r w:rsidRPr="00B17CAA">
        <w:t xml:space="preserve"> ОАО "РЖД" от 2 августа 2011 года N 1686р "О разработке, согласовании и утверждении в ОАО "РЖД" инструкции о порядке обслуживания и организации движения на желез</w:t>
      </w:r>
      <w:r w:rsidRPr="00B17CAA">
        <w:t>нодорожном пути необщего пользования".</w:t>
      </w:r>
    </w:p>
    <w:p w:rsidR="00000000" w:rsidRPr="00B17CAA" w:rsidRDefault="00FA36D0">
      <w:bookmarkStart w:id="5" w:name="sub_4"/>
      <w:bookmarkEnd w:id="4"/>
      <w:r w:rsidRPr="00B17CAA">
        <w:t>4. Контроль за выполнением настоящего распоряжения возложить на вице-президента - начальника дирекции тяги Воротилкина А.В., начальника Центральной дирекции управления движением Иванова П.А., начальника Цент</w:t>
      </w:r>
      <w:r w:rsidRPr="00B17CAA">
        <w:t>ральной дирекции инфраструктуры Супруна В.Н., начальника Центральной дирекции моторвагонного подвижного состава Сизова С.В., начальника Центральной дирекции по ремонту пути Пименова И.Я., начальника Дирекции по ремонту тягового подвижного состава Акулова А</w:t>
      </w:r>
      <w:r w:rsidRPr="00B17CAA">
        <w:t>.П. в соответствии с функциональной компетенцией вопросов.</w:t>
      </w:r>
    </w:p>
    <w:bookmarkEnd w:id="5"/>
    <w:p w:rsidR="00000000" w:rsidRPr="00B17CAA" w:rsidRDefault="00FA36D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17CAA" w:rsidRDefault="00FA36D0">
            <w:pPr>
              <w:pStyle w:val="ac"/>
            </w:pPr>
            <w:r w:rsidRPr="00B17CAA">
              <w:t>Старший вице-президент ОАО "РЖД"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17CAA" w:rsidRDefault="00FA36D0">
            <w:pPr>
              <w:pStyle w:val="aa"/>
              <w:jc w:val="right"/>
            </w:pPr>
            <w:r w:rsidRPr="00B17CAA">
              <w:t>А. Краснощек</w:t>
            </w:r>
          </w:p>
        </w:tc>
      </w:tr>
    </w:tbl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bookmarkStart w:id="6" w:name="sub_1000"/>
      <w:r w:rsidRPr="00B17CAA">
        <w:rPr>
          <w:color w:val="auto"/>
        </w:rPr>
        <w:t>Порядок</w:t>
      </w:r>
      <w:r w:rsidRPr="00B17CAA">
        <w:rPr>
          <w:color w:val="auto"/>
        </w:rPr>
        <w:br/>
        <w:t xml:space="preserve">разработки, согласования и утверждения в ОАО "РЖД" инструкции о порядке обслуживания и организации движения на железнодорожном </w:t>
      </w:r>
      <w:r w:rsidRPr="00B17CAA">
        <w:rPr>
          <w:color w:val="auto"/>
        </w:rPr>
        <w:t xml:space="preserve">пути необщего пользования, а также железнодорожном пути, находящемся в ведении функционального филиала или </w:t>
      </w:r>
      <w:r w:rsidRPr="00B17CAA">
        <w:rPr>
          <w:color w:val="auto"/>
        </w:rPr>
        <w:lastRenderedPageBreak/>
        <w:t>структурного подразделения ОАО "РЖД"</w:t>
      </w:r>
      <w:r w:rsidRPr="00B17CAA">
        <w:rPr>
          <w:color w:val="auto"/>
        </w:rPr>
        <w:br/>
        <w:t xml:space="preserve">(утв. </w:t>
      </w:r>
      <w:r w:rsidRPr="00B17CAA">
        <w:rPr>
          <w:rStyle w:val="a4"/>
          <w:b w:val="0"/>
          <w:bCs w:val="0"/>
          <w:color w:val="auto"/>
        </w:rPr>
        <w:t>распоряжением</w:t>
      </w:r>
      <w:r w:rsidRPr="00B17CAA">
        <w:rPr>
          <w:color w:val="auto"/>
        </w:rPr>
        <w:t xml:space="preserve"> ОАО "РЖД" от 23 декабря 2013 г. N 2859р)</w:t>
      </w:r>
    </w:p>
    <w:bookmarkEnd w:id="6"/>
    <w:p w:rsidR="00000000" w:rsidRPr="00B17CAA" w:rsidRDefault="00FA36D0">
      <w:pPr>
        <w:pStyle w:val="ab"/>
        <w:rPr>
          <w:color w:val="auto"/>
        </w:rPr>
      </w:pPr>
      <w:r w:rsidRPr="00B17CAA">
        <w:rPr>
          <w:color w:val="auto"/>
        </w:rPr>
        <w:t>С изменениями и допо</w:t>
      </w:r>
      <w:r w:rsidRPr="00B17CAA">
        <w:rPr>
          <w:color w:val="auto"/>
        </w:rPr>
        <w:t>лнениями от:</w:t>
      </w:r>
    </w:p>
    <w:p w:rsidR="00000000" w:rsidRPr="00B17CAA" w:rsidRDefault="00FA36D0">
      <w:pPr>
        <w:pStyle w:val="a9"/>
        <w:rPr>
          <w:color w:val="auto"/>
          <w:shd w:val="clear" w:color="auto" w:fill="EAEFED"/>
        </w:rPr>
      </w:pPr>
      <w:r w:rsidRPr="00B17CAA">
        <w:rPr>
          <w:color w:val="auto"/>
        </w:rPr>
        <w:t xml:space="preserve"> </w:t>
      </w:r>
      <w:r w:rsidRPr="00B17CAA">
        <w:rPr>
          <w:color w:val="auto"/>
          <w:shd w:val="clear" w:color="auto" w:fill="EAEFED"/>
        </w:rPr>
        <w:t>8 августа, 26 декабря 2016 г.</w:t>
      </w:r>
    </w:p>
    <w:p w:rsidR="00000000" w:rsidRPr="00B17CAA" w:rsidRDefault="00FA36D0"/>
    <w:p w:rsidR="00000000" w:rsidRPr="00B17CAA" w:rsidRDefault="00FA36D0">
      <w:bookmarkStart w:id="7" w:name="sub_1001"/>
      <w:r w:rsidRPr="00B17CAA">
        <w:t xml:space="preserve">1. Разработка </w:t>
      </w:r>
      <w:r w:rsidRPr="00B17CAA">
        <w:rPr>
          <w:rStyle w:val="a4"/>
          <w:color w:val="auto"/>
        </w:rPr>
        <w:t>инструкции</w:t>
      </w:r>
      <w:r w:rsidRPr="00B17CAA">
        <w:t xml:space="preserve"> о порядке обслуживания и организации движения на железнодорожном пути необщего пользования, а также железнодорожном пути, находящемся в ведении функцион</w:t>
      </w:r>
      <w:r w:rsidRPr="00B17CAA">
        <w:t xml:space="preserve">ального филиала или структурного подразделения ОАО "РЖД" (далее - Инструкция) производится в соответствии с </w:t>
      </w:r>
      <w:r w:rsidRPr="00B17CAA">
        <w:rPr>
          <w:rStyle w:val="a4"/>
          <w:color w:val="auto"/>
        </w:rPr>
        <w:t>пунктом 4 статьи 16</w:t>
      </w:r>
      <w:r w:rsidRPr="00B17CAA">
        <w:t xml:space="preserve"> статьи 16 Федерального закона от 10 января 2003 года N 17-ФЗ</w:t>
      </w:r>
      <w:r w:rsidRPr="00B17CAA">
        <w:t xml:space="preserve"> "О железнодорожном транспорте в Российской Федерации", требованиями положений </w:t>
      </w:r>
      <w:r w:rsidRPr="00B17CAA">
        <w:rPr>
          <w:rStyle w:val="a4"/>
          <w:color w:val="auto"/>
        </w:rPr>
        <w:t>пункта 1.7</w:t>
      </w:r>
      <w:r w:rsidRPr="00B17CAA">
        <w:t xml:space="preserve"> Правил эксплуатации и обслуживания железнодорожных путей необщего пользования, утвержденных </w:t>
      </w:r>
      <w:r w:rsidRPr="00B17CAA">
        <w:rPr>
          <w:rStyle w:val="a4"/>
          <w:color w:val="auto"/>
        </w:rPr>
        <w:t>приказом</w:t>
      </w:r>
      <w:r w:rsidRPr="00B17CAA">
        <w:t xml:space="preserve"> </w:t>
      </w:r>
      <w:bookmarkStart w:id="8" w:name="_GoBack"/>
      <w:bookmarkEnd w:id="8"/>
      <w:r w:rsidRPr="00B17CAA">
        <w:t xml:space="preserve">МПС России от 18 июня 2003 года N 26 и </w:t>
      </w:r>
      <w:r w:rsidRPr="00B17CAA">
        <w:rPr>
          <w:rStyle w:val="a4"/>
          <w:color w:val="auto"/>
        </w:rPr>
        <w:t xml:space="preserve">пункта 12 </w:t>
      </w:r>
      <w:r w:rsidRPr="00B17CAA">
        <w:t>Приложения N 6 к Правилам технической эксплуатации железных дорог Российской</w:t>
      </w:r>
      <w:r w:rsidRPr="00B17CAA">
        <w:t xml:space="preserve"> Федерации, утвержденным </w:t>
      </w:r>
      <w:r w:rsidRPr="00B17CAA">
        <w:rPr>
          <w:rStyle w:val="a4"/>
          <w:color w:val="auto"/>
        </w:rPr>
        <w:t>Приказом</w:t>
      </w:r>
      <w:r w:rsidRPr="00B17CAA">
        <w:t xml:space="preserve"> Минтранса России от 21 декабря 2010 года N 286.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9" w:name="sub_1002"/>
      <w:bookmarkEnd w:id="7"/>
      <w:r w:rsidRPr="00B17CA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Распоряжением</w:t>
      </w:r>
      <w:r w:rsidRPr="00B17CAA">
        <w:rPr>
          <w:color w:val="auto"/>
          <w:shd w:val="clear" w:color="auto" w:fill="F0F0F0"/>
        </w:rPr>
        <w:t xml:space="preserve"> ОАО "РЖД" от 26 декабря 2016 г. N 2660р в пункт 2 внесены изменения, </w:t>
      </w:r>
      <w:r w:rsidRPr="00B17CAA">
        <w:rPr>
          <w:rStyle w:val="a4"/>
          <w:color w:val="auto"/>
          <w:shd w:val="clear" w:color="auto" w:fill="F0F0F0"/>
        </w:rPr>
        <w:t>вступающие в силу</w:t>
      </w:r>
      <w:r w:rsidRPr="00B17CAA">
        <w:rPr>
          <w:color w:val="auto"/>
          <w:shd w:val="clear" w:color="auto" w:fill="F0F0F0"/>
        </w:rPr>
        <w:t xml:space="preserve"> с 1 марта 2017 г.</w:t>
      </w:r>
    </w:p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См. текст пункта в предыдущей редакции</w:t>
      </w:r>
    </w:p>
    <w:p w:rsidR="00000000" w:rsidRPr="00B17CAA" w:rsidRDefault="00FA36D0">
      <w:r w:rsidRPr="00B17CAA">
        <w:t xml:space="preserve">2. </w:t>
      </w:r>
      <w:r w:rsidRPr="00B17CAA">
        <w:rPr>
          <w:rStyle w:val="a4"/>
          <w:color w:val="auto"/>
        </w:rPr>
        <w:t>Инструкция</w:t>
      </w:r>
      <w:r w:rsidRPr="00B17CAA">
        <w:t xml:space="preserve"> о порядке обслуживания железнодорожного пути необщего пользования, не принадлежащего ОАО "РЖД", разрабатываетс</w:t>
      </w:r>
      <w:r w:rsidRPr="00B17CAA">
        <w:t>я и утверждается владельцем железнодорожного пути необщего пользования. Инструкция проверяется и согласовывается начальником станции примыкания железнодорожного пути необщего пользования, ревизором (движения) участка, начальником дистанции пути, начальнико</w:t>
      </w:r>
      <w:r w:rsidRPr="00B17CAA">
        <w:t>м эксплуатационного локомотивного депо, при обслуживании железнодорожного пути необщего пользования локомотивом ОАО "РЖД", и передается в отдел по работе со станциями центра организации работы железнодорожных станций, который обеспечивает согласование Инст</w:t>
      </w:r>
      <w:r w:rsidRPr="00B17CAA">
        <w:t>рукции:</w:t>
      </w:r>
    </w:p>
    <w:p w:rsidR="00000000" w:rsidRPr="00B17CAA" w:rsidRDefault="00FA36D0">
      <w:r w:rsidRPr="00B17CAA">
        <w:t>- начальником отдела по работе со станциями центра организации работы железнодорожных станций;</w:t>
      </w:r>
    </w:p>
    <w:p w:rsidR="00000000" w:rsidRPr="00B17CAA" w:rsidRDefault="00FA36D0">
      <w:r w:rsidRPr="00B17CAA">
        <w:t>- начальником агентства фирменного транспортного обслуживания;</w:t>
      </w:r>
    </w:p>
    <w:p w:rsidR="00000000" w:rsidRPr="00B17CAA" w:rsidRDefault="00FA36D0">
      <w:r w:rsidRPr="00B17CAA">
        <w:t>- ревизором по безопасности движения по региону (по хозяйству перевозок);</w:t>
      </w:r>
    </w:p>
    <w:p w:rsidR="00000000" w:rsidRPr="00B17CAA" w:rsidRDefault="00FA36D0">
      <w:r w:rsidRPr="00B17CAA">
        <w:t>- начальником це</w:t>
      </w:r>
      <w:r w:rsidRPr="00B17CAA">
        <w:t>нтра организации работы железнодорожных станций.</w:t>
      </w:r>
    </w:p>
    <w:p w:rsidR="00000000" w:rsidRPr="00B17CAA" w:rsidRDefault="00FA36D0">
      <w:r w:rsidRPr="00B17CAA">
        <w:t>Окончательно согласовывает Инструкцию заместитель начальника железной дороги (по территориальному управлению).</w:t>
      </w:r>
    </w:p>
    <w:p w:rsidR="00000000" w:rsidRPr="00B17CAA" w:rsidRDefault="00FA36D0">
      <w:r w:rsidRPr="00B17CAA">
        <w:t>Заместитель начальника железной дороги (по территориальному управлению) в зависимости от Местных</w:t>
      </w:r>
      <w:r w:rsidRPr="00B17CAA">
        <w:t xml:space="preserve"> условий вправе поручить окончательное согласование Инструкции заместителю главного инженера железной дороги.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0" w:name="sub_1003"/>
      <w:r w:rsidRPr="00B17CA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Распоряжением</w:t>
      </w:r>
      <w:r w:rsidRPr="00B17CAA">
        <w:rPr>
          <w:color w:val="auto"/>
          <w:shd w:val="clear" w:color="auto" w:fill="F0F0F0"/>
        </w:rPr>
        <w:t xml:space="preserve"> ОАО "РЖД" от 26 декабр</w:t>
      </w:r>
      <w:r w:rsidRPr="00B17CAA">
        <w:rPr>
          <w:color w:val="auto"/>
          <w:shd w:val="clear" w:color="auto" w:fill="F0F0F0"/>
        </w:rPr>
        <w:t xml:space="preserve">я 2016 г. N 2660р в пункт 3 внесены изменения, </w:t>
      </w:r>
      <w:r w:rsidRPr="00B17CAA">
        <w:rPr>
          <w:rStyle w:val="a4"/>
          <w:color w:val="auto"/>
          <w:shd w:val="clear" w:color="auto" w:fill="F0F0F0"/>
        </w:rPr>
        <w:t>вступающие в силу</w:t>
      </w:r>
      <w:r w:rsidRPr="00B17CAA">
        <w:rPr>
          <w:color w:val="auto"/>
          <w:shd w:val="clear" w:color="auto" w:fill="F0F0F0"/>
        </w:rPr>
        <w:t xml:space="preserve"> с 1 марта 2017 г.</w:t>
      </w:r>
    </w:p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См. текст пункта в предыдущей редакции</w:t>
      </w:r>
    </w:p>
    <w:p w:rsidR="00000000" w:rsidRPr="00B17CAA" w:rsidRDefault="00FA36D0">
      <w:r w:rsidRPr="00B17CAA">
        <w:t>3.</w:t>
      </w:r>
      <w:r w:rsidRPr="00B17CAA">
        <w:t xml:space="preserve"> </w:t>
      </w:r>
      <w:r w:rsidRPr="00B17CAA">
        <w:rPr>
          <w:rStyle w:val="a4"/>
          <w:color w:val="auto"/>
        </w:rPr>
        <w:t>Инструкция</w:t>
      </w:r>
      <w:r w:rsidRPr="00B17CAA">
        <w:t xml:space="preserve"> о порядке обслуживания железнодорожного пути необщего пользования, принадлежащего ОАО "РЖД", разрабатывается начальником станции примыкания железнодорожного пути необщего пользования на основании технического паспорта </w:t>
      </w:r>
      <w:r w:rsidRPr="00B17CAA">
        <w:t>железнодорожного пути необщего пользования, его плана и продольного профиля, чертежей сооружений, предоставленных дистанцией пути, проверяется и согласовывается начальником дистанции пути и ревизором (движения) участка, начальником эксплуатационного локомо</w:t>
      </w:r>
      <w:r w:rsidRPr="00B17CAA">
        <w:t xml:space="preserve">тивного депо, при обслуживании железнодорожного пути необщего пользования локомотивом ОАО "РЖД", и передается в отдел по работе со станциями центра организации работы железнодорожных станций, </w:t>
      </w:r>
      <w:r w:rsidRPr="00B17CAA">
        <w:lastRenderedPageBreak/>
        <w:t>который обеспечивает согласование Инструкции:</w:t>
      </w:r>
    </w:p>
    <w:p w:rsidR="00000000" w:rsidRPr="00B17CAA" w:rsidRDefault="00FA36D0">
      <w:r w:rsidRPr="00B17CAA">
        <w:t>- начальником отде</w:t>
      </w:r>
      <w:r w:rsidRPr="00B17CAA">
        <w:t>ла по работе со станциями центра организации работы железнодорожных станций;</w:t>
      </w:r>
    </w:p>
    <w:p w:rsidR="00000000" w:rsidRPr="00B17CAA" w:rsidRDefault="00FA36D0">
      <w:r w:rsidRPr="00B17CAA">
        <w:t>- начальником агентства фирменного транспортного обслуживания;</w:t>
      </w:r>
    </w:p>
    <w:p w:rsidR="00000000" w:rsidRPr="00B17CAA" w:rsidRDefault="00FA36D0">
      <w:r w:rsidRPr="00B17CAA">
        <w:t>- ревизором по безопасности движения по региону (по хозяйству перевозок);</w:t>
      </w:r>
    </w:p>
    <w:p w:rsidR="00000000" w:rsidRPr="00B17CAA" w:rsidRDefault="00FA36D0">
      <w:r w:rsidRPr="00B17CAA">
        <w:t>- начальником центра организации работы же</w:t>
      </w:r>
      <w:r w:rsidRPr="00B17CAA">
        <w:t>лезнодорожных станций;</w:t>
      </w:r>
    </w:p>
    <w:p w:rsidR="00000000" w:rsidRPr="00B17CAA" w:rsidRDefault="00FA36D0">
      <w:r w:rsidRPr="00B17CAA">
        <w:t>- пользователем железнодорожного пути необщего пользования.</w:t>
      </w:r>
    </w:p>
    <w:p w:rsidR="00000000" w:rsidRPr="00B17CAA" w:rsidRDefault="00FA36D0">
      <w:r w:rsidRPr="00B17CAA">
        <w:t>Утверждает Инструкцию заместитель начальника железной дороги (по территориальному управлению).</w:t>
      </w:r>
    </w:p>
    <w:p w:rsidR="00000000" w:rsidRPr="00B17CAA" w:rsidRDefault="00FA36D0">
      <w:r w:rsidRPr="00B17CAA">
        <w:t>Заместитель начальника железной дороги (по территориальному управлению) в зави</w:t>
      </w:r>
      <w:r w:rsidRPr="00B17CAA">
        <w:t xml:space="preserve">симости от Местных условий вправе поручить утверждение </w:t>
      </w:r>
      <w:r w:rsidRPr="00B17CAA">
        <w:rPr>
          <w:rStyle w:val="a4"/>
          <w:color w:val="auto"/>
        </w:rPr>
        <w:t>Инструкции</w:t>
      </w:r>
      <w:r w:rsidRPr="00B17CAA">
        <w:t xml:space="preserve"> заместителю главного инженера железной дороги.</w:t>
      </w:r>
    </w:p>
    <w:p w:rsidR="00000000" w:rsidRPr="00B17CAA" w:rsidRDefault="00FA36D0">
      <w:bookmarkStart w:id="11" w:name="sub_1004"/>
      <w:r w:rsidRPr="00B17CAA">
        <w:t>4. В случае когда железнодорожные пути необщего пользования, принадлежащие ОАО "РЖД", используются функционал</w:t>
      </w:r>
      <w:r w:rsidRPr="00B17CAA">
        <w:t xml:space="preserve">ьными филиалами или структурными подразделениями ОАО "РЖД", Инструкция разрабатывается уполномоченным представителем функционального филиала или структурного подразделения ОАО "РЖД" совместно с начальником станции примыкания железнодорожного пути необщего </w:t>
      </w:r>
      <w:r w:rsidRPr="00B17CAA">
        <w:t xml:space="preserve">пользования, проверяется, согласовывается и утверждается аналогично </w:t>
      </w:r>
      <w:r w:rsidRPr="00B17CAA">
        <w:rPr>
          <w:rStyle w:val="a4"/>
          <w:color w:val="auto"/>
        </w:rPr>
        <w:t>пункту 3</w:t>
      </w:r>
      <w:r w:rsidRPr="00B17CAA">
        <w:t xml:space="preserve"> настоящего Порядка.</w:t>
      </w:r>
    </w:p>
    <w:p w:rsidR="00000000" w:rsidRPr="00B17CAA" w:rsidRDefault="00FA36D0">
      <w:bookmarkStart w:id="12" w:name="sub_1005"/>
      <w:bookmarkEnd w:id="11"/>
      <w:r w:rsidRPr="00B17CAA">
        <w:t>5. В случае когда железнодорожные пути находятся в ведении филиалов или структурных подразделений ОАО "РЖД" и не явля</w:t>
      </w:r>
      <w:r w:rsidRPr="00B17CAA">
        <w:t>ются железнодорожными путями необщего пользования, Инструкция разрабатывается уполномоченным представителем филиала или структурного подразделения ОАО "РЖД" совместно с начальником станции примыкания железнодорожного пути, проверяется, согласовывается и ут</w:t>
      </w:r>
      <w:r w:rsidRPr="00B17CAA">
        <w:t xml:space="preserve">верждается аналогично </w:t>
      </w:r>
      <w:r w:rsidRPr="00B17CAA">
        <w:rPr>
          <w:rStyle w:val="a4"/>
          <w:color w:val="auto"/>
        </w:rPr>
        <w:t>пункту 3</w:t>
      </w:r>
      <w:r w:rsidRPr="00B17CAA">
        <w:t xml:space="preserve"> настоящего Порядка.</w:t>
      </w:r>
    </w:p>
    <w:p w:rsidR="00000000" w:rsidRPr="00B17CAA" w:rsidRDefault="00FA36D0">
      <w:bookmarkStart w:id="13" w:name="sub_1006"/>
      <w:bookmarkEnd w:id="12"/>
      <w:r w:rsidRPr="00B17CAA">
        <w:t>6. На Калининградской ж. д.: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4" w:name="sub_1061"/>
      <w:bookmarkEnd w:id="13"/>
      <w:r w:rsidRPr="00B17CA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Распоряжением</w:t>
      </w:r>
      <w:r w:rsidRPr="00B17CAA">
        <w:rPr>
          <w:color w:val="auto"/>
          <w:shd w:val="clear" w:color="auto" w:fill="F0F0F0"/>
        </w:rPr>
        <w:t xml:space="preserve"> ОА</w:t>
      </w:r>
      <w:r w:rsidRPr="00B17CAA">
        <w:rPr>
          <w:color w:val="auto"/>
          <w:shd w:val="clear" w:color="auto" w:fill="F0F0F0"/>
        </w:rPr>
        <w:t xml:space="preserve">О "РЖД" от 26 декабря 2016 г. N 2660р в подпункт 6.1 внесены изменения, </w:t>
      </w:r>
      <w:r w:rsidRPr="00B17CAA">
        <w:rPr>
          <w:rStyle w:val="a4"/>
          <w:color w:val="auto"/>
          <w:shd w:val="clear" w:color="auto" w:fill="F0F0F0"/>
        </w:rPr>
        <w:t>вступающие в силу</w:t>
      </w:r>
      <w:r w:rsidRPr="00B17CAA">
        <w:rPr>
          <w:color w:val="auto"/>
          <w:shd w:val="clear" w:color="auto" w:fill="F0F0F0"/>
        </w:rPr>
        <w:t xml:space="preserve"> с 1 марта 2017 г.</w:t>
      </w:r>
    </w:p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См. текст подпункта</w:t>
      </w:r>
      <w:r w:rsidRPr="00B17CAA">
        <w:rPr>
          <w:rStyle w:val="a4"/>
          <w:color w:val="auto"/>
          <w:shd w:val="clear" w:color="auto" w:fill="F0F0F0"/>
        </w:rPr>
        <w:t xml:space="preserve"> в предыдущей редакции</w:t>
      </w:r>
    </w:p>
    <w:p w:rsidR="00000000" w:rsidRPr="00B17CAA" w:rsidRDefault="00FA36D0">
      <w:r w:rsidRPr="00B17CAA">
        <w:t>6.1. Инструкция, разработанная владельцем железнодорожного пути необщего пользования, не принадлежащего ОАО "РЖД", проверяется и согласовывается начальником станции примыкания железнодорожного пути необщего пользования, начальнико</w:t>
      </w:r>
      <w:r w:rsidRPr="00B17CAA">
        <w:t xml:space="preserve">м дистанции пути, ревизором (движения) участка, при его отсутствии - ревизором службы движения, начальником эксплуатационного локомотивного депо, при обслуживании железнодорожного пути необщего пользования локомотивом ОАО "РЖД", и передается в технический </w:t>
      </w:r>
      <w:r w:rsidRPr="00B17CAA">
        <w:t>отдел Дирекции управления движением, который обеспечивает согласование Инструкции:</w:t>
      </w:r>
    </w:p>
    <w:p w:rsidR="00000000" w:rsidRPr="00B17CAA" w:rsidRDefault="00FA36D0">
      <w:r w:rsidRPr="00B17CAA">
        <w:t>- начальником территориального центра фирменного транспортного обслуживания;</w:t>
      </w:r>
    </w:p>
    <w:p w:rsidR="00000000" w:rsidRPr="00B17CAA" w:rsidRDefault="00FA36D0">
      <w:r w:rsidRPr="00B17CAA">
        <w:t>- начальником региональной дирекции управления движением;</w:t>
      </w:r>
    </w:p>
    <w:p w:rsidR="00000000" w:rsidRPr="00B17CAA" w:rsidRDefault="00FA36D0">
      <w:r w:rsidRPr="00B17CAA">
        <w:t>- ревизором по безопасности движения (по хозяйству перевозок).</w:t>
      </w:r>
    </w:p>
    <w:p w:rsidR="00000000" w:rsidRPr="00B17CAA" w:rsidRDefault="00FA36D0">
      <w:r w:rsidRPr="00B17CAA">
        <w:t>Окончательно Инструкцию согласовывает первый заместитель начальника железной дороги.</w:t>
      </w:r>
    </w:p>
    <w:p w:rsidR="00000000" w:rsidRPr="00B17CAA" w:rsidRDefault="00FA36D0">
      <w:r w:rsidRPr="00B17CAA">
        <w:t>Первый заместитель начальника железной дороги вправе поручить согласование Инструкций главному инженеру желе</w:t>
      </w:r>
      <w:r w:rsidRPr="00B17CAA">
        <w:t>зной дороги.</w:t>
      </w:r>
    </w:p>
    <w:p w:rsidR="00000000" w:rsidRPr="00B17CAA" w:rsidRDefault="00FA36D0">
      <w:r w:rsidRPr="00B17CAA">
        <w:t>Утверждает Инструкцию владелец железнодорожного пути необщего пользования.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5" w:name="sub_1062"/>
      <w:r w:rsidRPr="00B17CA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Распоряжением</w:t>
      </w:r>
      <w:r w:rsidRPr="00B17CAA">
        <w:rPr>
          <w:color w:val="auto"/>
          <w:shd w:val="clear" w:color="auto" w:fill="F0F0F0"/>
        </w:rPr>
        <w:t xml:space="preserve"> ОАО "РЖД" от 26 декабря 2016 г. N 2660р в по</w:t>
      </w:r>
      <w:r w:rsidRPr="00B17CAA">
        <w:rPr>
          <w:color w:val="auto"/>
          <w:shd w:val="clear" w:color="auto" w:fill="F0F0F0"/>
        </w:rPr>
        <w:t xml:space="preserve">дпункт 6.2 внесены изменения, </w:t>
      </w:r>
      <w:r w:rsidRPr="00B17CAA">
        <w:rPr>
          <w:rStyle w:val="a4"/>
          <w:color w:val="auto"/>
          <w:shd w:val="clear" w:color="auto" w:fill="F0F0F0"/>
        </w:rPr>
        <w:t>вступающие в силу</w:t>
      </w:r>
      <w:r w:rsidRPr="00B17CAA">
        <w:rPr>
          <w:color w:val="auto"/>
          <w:shd w:val="clear" w:color="auto" w:fill="F0F0F0"/>
        </w:rPr>
        <w:t xml:space="preserve"> с 1 марта 2017 г.</w:t>
      </w:r>
    </w:p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См. текст подпункта в предыдущей редакции</w:t>
      </w:r>
    </w:p>
    <w:p w:rsidR="00000000" w:rsidRPr="00B17CAA" w:rsidRDefault="00FA36D0">
      <w:r w:rsidRPr="00B17CAA">
        <w:t>6.2. Инструкция,</w:t>
      </w:r>
      <w:r w:rsidRPr="00B17CAA">
        <w:t xml:space="preserve"> разработанная начальником станции примыкания железнодорожного пути необщего пользования, принадлежащего ОАО "РЖД", проверяется и согласовывается начальником дистанции пути, ревизором (движения) участка, при его отсутствии ревизором службы движения, </w:t>
      </w:r>
      <w:r w:rsidRPr="00B17CAA">
        <w:lastRenderedPageBreak/>
        <w:t>началь</w:t>
      </w:r>
      <w:r w:rsidRPr="00B17CAA">
        <w:t>ником эксплуатационного локомотивного депо, при обслуживании железнодорожного пути необщего пользования локомотивом ОАО "РЖД", и передается в технический отдел Дирекции управления движением, который обеспечивает согласование Инструкции:</w:t>
      </w:r>
    </w:p>
    <w:p w:rsidR="00000000" w:rsidRPr="00B17CAA" w:rsidRDefault="00FA36D0">
      <w:r w:rsidRPr="00B17CAA">
        <w:t>- начальником терри</w:t>
      </w:r>
      <w:r w:rsidRPr="00B17CAA">
        <w:t>ториального центра фирменного транспортного обслуживания;</w:t>
      </w:r>
    </w:p>
    <w:p w:rsidR="00000000" w:rsidRPr="00B17CAA" w:rsidRDefault="00FA36D0">
      <w:r w:rsidRPr="00B17CAA">
        <w:t>- начальником региональной дирекции управления движением;</w:t>
      </w:r>
    </w:p>
    <w:p w:rsidR="00000000" w:rsidRPr="00B17CAA" w:rsidRDefault="00FA36D0">
      <w:r w:rsidRPr="00B17CAA">
        <w:t>- ревизором по безопасности движения (по хозяйству перевозок);</w:t>
      </w:r>
    </w:p>
    <w:p w:rsidR="00000000" w:rsidRPr="00B17CAA" w:rsidRDefault="00FA36D0">
      <w:r w:rsidRPr="00B17CAA">
        <w:t>- пользователем железнодорожного пути необщего пользования.</w:t>
      </w:r>
    </w:p>
    <w:p w:rsidR="00000000" w:rsidRPr="00B17CAA" w:rsidRDefault="00FA36D0">
      <w:r w:rsidRPr="00B17CAA">
        <w:t>Утверждает Инстру</w:t>
      </w:r>
      <w:r w:rsidRPr="00B17CAA">
        <w:t>кцию первый заместитель начальника железной дороги.</w:t>
      </w:r>
    </w:p>
    <w:p w:rsidR="00000000" w:rsidRPr="00B17CAA" w:rsidRDefault="00FA36D0">
      <w:r w:rsidRPr="00B17CAA">
        <w:t>Первый заместитель начальника железной дороги вправе поручить утверждение Инструкции главному инженеру железной дороги.</w:t>
      </w:r>
    </w:p>
    <w:p w:rsidR="00000000" w:rsidRPr="00B17CAA" w:rsidRDefault="00FA36D0">
      <w:bookmarkStart w:id="16" w:name="sub_1063"/>
      <w:r w:rsidRPr="00B17CAA">
        <w:t>6.3. В случае когда железнодорожные пути необщего пользования, принадлежащие</w:t>
      </w:r>
      <w:r w:rsidRPr="00B17CAA">
        <w:t xml:space="preserve"> ОАО "РЖД", используются функциональными филиалами или структурными подразделениями ОАО "РЖД", Инструкция разрабатывается уполномоченным представителем филиала или структурного подразделения ОАО "РЖД" совместно с начальником станции примыкания железнодорож</w:t>
      </w:r>
      <w:r w:rsidRPr="00B17CAA">
        <w:t xml:space="preserve">ного пути необщего пользования, проверяется, согласовывается и утверждается аналогично </w:t>
      </w:r>
      <w:r w:rsidRPr="00B17CAA">
        <w:rPr>
          <w:rStyle w:val="a4"/>
          <w:color w:val="auto"/>
        </w:rPr>
        <w:t>пункту 6.2</w:t>
      </w:r>
      <w:r w:rsidRPr="00B17CAA">
        <w:t xml:space="preserve"> настоящего Порядка.</w:t>
      </w:r>
    </w:p>
    <w:p w:rsidR="00000000" w:rsidRPr="00B17CAA" w:rsidRDefault="00FA36D0">
      <w:bookmarkStart w:id="17" w:name="sub_1064"/>
      <w:bookmarkEnd w:id="16"/>
      <w:r w:rsidRPr="00B17CAA">
        <w:t>6.4. В случае когда железнодорожные пути находятся в ведении функциональных филиалов и структурн</w:t>
      </w:r>
      <w:r w:rsidRPr="00B17CAA">
        <w:t>ых подразделений ОАО "РЖД" и не являются железнодорожными путями необщего пользования, Инструкция разрабатывается уполномоченным представителем функционального филиала или структурного подразделения ОАО "РЖД" совместно с начальником станции примыкания желе</w:t>
      </w:r>
      <w:r w:rsidRPr="00B17CAA">
        <w:t xml:space="preserve">знодорожного пути проверяется, согласовывается и утверждается аналогично </w:t>
      </w:r>
      <w:r w:rsidRPr="00B17CAA">
        <w:rPr>
          <w:rStyle w:val="a4"/>
          <w:color w:val="auto"/>
        </w:rPr>
        <w:t>пункту 6.2</w:t>
      </w:r>
      <w:r w:rsidRPr="00B17CAA">
        <w:t xml:space="preserve"> настоящего Порядка.</w:t>
      </w:r>
    </w:p>
    <w:p w:rsidR="00000000" w:rsidRPr="00B17CAA" w:rsidRDefault="00FA36D0">
      <w:bookmarkStart w:id="18" w:name="sub_1007"/>
      <w:bookmarkEnd w:id="17"/>
      <w:r w:rsidRPr="00B17CAA">
        <w:t>7. В случае когда железнодорожный путь необщего пользования имеет смешанную принадлежность (общая протяженност</w:t>
      </w:r>
      <w:r w:rsidRPr="00B17CAA">
        <w:t>ь железнодорожного пути необщего пользования состоит из двух частей, одна из которых принадлежит владельцу, а другая - ОАО "РЖД") Инструкция разрабатывается совместно владельцем части железнодорожного пути необщего пользования и начальником станции примыка</w:t>
      </w:r>
      <w:r w:rsidRPr="00B17CAA">
        <w:t xml:space="preserve">ния железнодорожного пути необщего пользования и согласовывается порядком, изложенным в </w:t>
      </w:r>
      <w:r w:rsidRPr="00B17CAA">
        <w:rPr>
          <w:rStyle w:val="a4"/>
          <w:color w:val="auto"/>
        </w:rPr>
        <w:t>пунктах 2</w:t>
      </w:r>
      <w:r w:rsidRPr="00B17CAA">
        <w:t xml:space="preserve">, </w:t>
      </w:r>
      <w:r w:rsidRPr="00B17CAA">
        <w:rPr>
          <w:rStyle w:val="a4"/>
          <w:color w:val="auto"/>
        </w:rPr>
        <w:t>3</w:t>
      </w:r>
      <w:r w:rsidRPr="00B17CAA">
        <w:t xml:space="preserve">, </w:t>
      </w:r>
      <w:r w:rsidRPr="00B17CAA">
        <w:rPr>
          <w:rStyle w:val="a4"/>
          <w:color w:val="auto"/>
        </w:rPr>
        <w:t>6.1</w:t>
      </w:r>
      <w:r w:rsidRPr="00B17CAA">
        <w:t xml:space="preserve">, </w:t>
      </w:r>
      <w:r w:rsidRPr="00B17CAA">
        <w:rPr>
          <w:rStyle w:val="a4"/>
          <w:color w:val="auto"/>
        </w:rPr>
        <w:t>6.2</w:t>
      </w:r>
      <w:r w:rsidRPr="00B17CAA">
        <w:t xml:space="preserve"> настоящего Порядка.</w:t>
      </w:r>
    </w:p>
    <w:bookmarkEnd w:id="18"/>
    <w:p w:rsidR="00000000" w:rsidRPr="00B17CAA" w:rsidRDefault="00FA36D0">
      <w:r w:rsidRPr="00B17CAA">
        <w:t xml:space="preserve">Утверждают Инструкцию владелец части железнодорожного пути необщего пользования и должностные лица ОАО "РЖД" порядком, изложенным в </w:t>
      </w:r>
      <w:r w:rsidRPr="00B17CAA">
        <w:rPr>
          <w:rStyle w:val="a4"/>
          <w:color w:val="auto"/>
        </w:rPr>
        <w:t>пунктах 2</w:t>
      </w:r>
      <w:r w:rsidRPr="00B17CAA">
        <w:t xml:space="preserve">, </w:t>
      </w:r>
      <w:r w:rsidRPr="00B17CAA">
        <w:rPr>
          <w:rStyle w:val="a4"/>
          <w:color w:val="auto"/>
        </w:rPr>
        <w:t>3</w:t>
      </w:r>
      <w:r w:rsidRPr="00B17CAA">
        <w:t xml:space="preserve">, </w:t>
      </w:r>
      <w:r w:rsidRPr="00B17CAA">
        <w:rPr>
          <w:rStyle w:val="a4"/>
          <w:color w:val="auto"/>
        </w:rPr>
        <w:t>6.1</w:t>
      </w:r>
      <w:r w:rsidRPr="00B17CAA">
        <w:t xml:space="preserve">, </w:t>
      </w:r>
      <w:r w:rsidRPr="00B17CAA">
        <w:rPr>
          <w:rStyle w:val="a4"/>
          <w:color w:val="auto"/>
        </w:rPr>
        <w:t>6.2</w:t>
      </w:r>
      <w:r w:rsidRPr="00B17CAA">
        <w:t>.</w:t>
      </w:r>
    </w:p>
    <w:p w:rsidR="00000000" w:rsidRPr="00B17CAA" w:rsidRDefault="00FA36D0">
      <w:bookmarkStart w:id="19" w:name="sub_1008"/>
      <w:r w:rsidRPr="00B17CAA">
        <w:t>8. При необходимости допускается привлекать к согласованию Инструкции специалистов других причастных подразделений ОАО "РЖД".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0" w:name="sub_1009"/>
      <w:bookmarkEnd w:id="19"/>
      <w:r w:rsidRPr="00B17CA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Распо</w:t>
      </w:r>
      <w:r w:rsidRPr="00B17CAA">
        <w:rPr>
          <w:rStyle w:val="a4"/>
          <w:color w:val="auto"/>
          <w:shd w:val="clear" w:color="auto" w:fill="F0F0F0"/>
        </w:rPr>
        <w:t>ряжением</w:t>
      </w:r>
      <w:r w:rsidRPr="00B17CAA">
        <w:rPr>
          <w:color w:val="auto"/>
          <w:shd w:val="clear" w:color="auto" w:fill="F0F0F0"/>
        </w:rPr>
        <w:t xml:space="preserve"> ОАО "РЖД" от 26 декабря 2016 г. N 2660р пункт 9 изложен в новой редакции, </w:t>
      </w:r>
      <w:r w:rsidRPr="00B17CAA">
        <w:rPr>
          <w:rStyle w:val="a4"/>
          <w:color w:val="auto"/>
          <w:shd w:val="clear" w:color="auto" w:fill="F0F0F0"/>
        </w:rPr>
        <w:t>вступающей в силу</w:t>
      </w:r>
      <w:r w:rsidRPr="00B17CAA">
        <w:rPr>
          <w:color w:val="auto"/>
          <w:shd w:val="clear" w:color="auto" w:fill="F0F0F0"/>
        </w:rPr>
        <w:t xml:space="preserve"> с 1 марта 2017 г.</w:t>
      </w:r>
    </w:p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См. т</w:t>
      </w:r>
      <w:r w:rsidRPr="00B17CAA">
        <w:rPr>
          <w:rStyle w:val="a4"/>
          <w:color w:val="auto"/>
          <w:shd w:val="clear" w:color="auto" w:fill="F0F0F0"/>
        </w:rPr>
        <w:t>екст пункта в предыдущей редакции</w:t>
      </w:r>
    </w:p>
    <w:p w:rsidR="00000000" w:rsidRPr="00B17CAA" w:rsidRDefault="00FA36D0">
      <w:r w:rsidRPr="00B17CAA">
        <w:t>9. Инструкция составляется в 2 экземплярах, из которых:</w:t>
      </w:r>
    </w:p>
    <w:p w:rsidR="00000000" w:rsidRPr="00B17CAA" w:rsidRDefault="00FA36D0">
      <w:r w:rsidRPr="00B17CAA">
        <w:t>один экземпляр хранится у владельца (пользователя) железнодорожного пути необщего пользования или начальника функционального филиала (структурного подразделения ОА</w:t>
      </w:r>
      <w:r w:rsidRPr="00B17CAA">
        <w:t>О "РЖД");</w:t>
      </w:r>
    </w:p>
    <w:p w:rsidR="00000000" w:rsidRPr="00B17CAA" w:rsidRDefault="00FA36D0">
      <w:r w:rsidRPr="00B17CAA">
        <w:t>второй - у начальника станции примыкания.</w:t>
      </w:r>
    </w:p>
    <w:p w:rsidR="00000000" w:rsidRPr="00B17CAA" w:rsidRDefault="00FA36D0">
      <w:bookmarkStart w:id="21" w:name="sub_1010"/>
      <w:r w:rsidRPr="00B17CAA">
        <w:t>10. При изменении владельца или пользователя железнодорожного пути необщего пользования разрабатывается новая Инструкция порядком, изложенным выше.</w:t>
      </w:r>
    </w:p>
    <w:p w:rsidR="00000000" w:rsidRPr="00B17CAA" w:rsidRDefault="00FA36D0">
      <w:bookmarkStart w:id="22" w:name="sub_1011"/>
      <w:bookmarkEnd w:id="21"/>
      <w:r w:rsidRPr="00B17CAA">
        <w:t>11. При изменении технического о</w:t>
      </w:r>
      <w:r w:rsidRPr="00B17CAA">
        <w:t>снащения железнодорожного пути необщего пользования или железнодорожного пути, находящегося в ведении филиала или структурного подразделения ОАО "РЖД", технологии его работы, порядка обслуживания железнодорожного пути, проведения реконструкции и др., в Инс</w:t>
      </w:r>
      <w:r w:rsidRPr="00B17CAA">
        <w:t>трукцию вносятся соответствующие изменения и дополнения, которые разрабатываются, согласовываются и утверждаются установленным выше порядком.</w:t>
      </w:r>
    </w:p>
    <w:p w:rsidR="00000000" w:rsidRPr="00B17CAA" w:rsidRDefault="00FA36D0">
      <w:bookmarkStart w:id="23" w:name="sub_1012"/>
      <w:bookmarkEnd w:id="22"/>
      <w:r w:rsidRPr="00B17CAA">
        <w:t xml:space="preserve">12. Инструкция, изменения и дополнения подлежат проверке и согласованию начальником </w:t>
      </w:r>
      <w:r w:rsidRPr="00B17CAA">
        <w:lastRenderedPageBreak/>
        <w:t>станции примык</w:t>
      </w:r>
      <w:r w:rsidRPr="00B17CAA">
        <w:t>ания железнодорожного пути и ревизором (движения), при его отсутствии ревизором службы движения, в 10-дневный срок. Дальнейшее согласование Инструкции причастными работниками подразделений ОАО "РЖД" должно производиться в 20-дневный срок. Все изменения или</w:t>
      </w:r>
      <w:r w:rsidRPr="00B17CAA">
        <w:t xml:space="preserve"> дополнения, которые требуется внести в Инструкцию на каждом этапе согласования, оформляются в письменном виде за подписью руководителя согласующего подразделения. Обобщение замечаний и возврат Инструкций на доработку осуществляются:</w:t>
      </w:r>
    </w:p>
    <w:bookmarkEnd w:id="23"/>
    <w:p w:rsidR="00000000" w:rsidRPr="00B17CAA" w:rsidRDefault="00FA36D0">
      <w:r w:rsidRPr="00B17CAA">
        <w:t xml:space="preserve">ответственным </w:t>
      </w:r>
      <w:r w:rsidRPr="00B17CAA">
        <w:t>исполнителем отдела по работе со станциями центров организации работы железнодорожных станций, инженером-технологом технического отдела Калининградской дирекции управления движением.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4" w:name="sub_1013"/>
      <w:r w:rsidRPr="00B17CA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Распоряжением</w:t>
      </w:r>
      <w:r w:rsidRPr="00B17CAA">
        <w:rPr>
          <w:color w:val="auto"/>
          <w:shd w:val="clear" w:color="auto" w:fill="F0F0F0"/>
        </w:rPr>
        <w:t xml:space="preserve"> ОАО "РЖД" от 26 декабря 2016 г. N 2660р в пункт 13 внесены изменения, </w:t>
      </w:r>
      <w:r w:rsidRPr="00B17CAA">
        <w:rPr>
          <w:rStyle w:val="a4"/>
          <w:color w:val="auto"/>
          <w:shd w:val="clear" w:color="auto" w:fill="F0F0F0"/>
        </w:rPr>
        <w:t>вступающие в силу</w:t>
      </w:r>
      <w:r w:rsidRPr="00B17CAA">
        <w:rPr>
          <w:color w:val="auto"/>
          <w:shd w:val="clear" w:color="auto" w:fill="F0F0F0"/>
        </w:rPr>
        <w:t xml:space="preserve"> с 1 марта 2017 г.</w:t>
      </w:r>
    </w:p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См. текст пункта в предыдущей редакции</w:t>
      </w:r>
    </w:p>
    <w:p w:rsidR="00000000" w:rsidRPr="00B17CAA" w:rsidRDefault="00FA36D0">
      <w:r w:rsidRPr="00B17CAA">
        <w:t>13. По состоянию на 1 января каждого года проводится контрольная выверка содержания Инструкции начальником железнодорожной станции, к которой примыкает же</w:t>
      </w:r>
      <w:r w:rsidRPr="00B17CAA">
        <w:t>лезнодорожный путь, совместно с владельцем железнодорожного пути необщего пользования, балансодержателем железнодорожного пути необщего пользования, руководителями соответствующих функциональных филиалов и структурных подразделений ОАО "РЖД".</w:t>
      </w:r>
    </w:p>
    <w:p w:rsidR="00000000" w:rsidRPr="00B17CAA" w:rsidRDefault="00FA36D0">
      <w:r w:rsidRPr="00B17CAA">
        <w:t>В процессе вы</w:t>
      </w:r>
      <w:r w:rsidRPr="00B17CAA">
        <w:t>верки должно быть проверено соответствие Инструкции фактическому состоянию технических средств, технологии работы железнодорожной станции примыкания (далее - станция примыкания) и железнодорожного пути необщего пользования, железнодорожного пути, находящег</w:t>
      </w:r>
      <w:r w:rsidRPr="00B17CAA">
        <w:t>ося в ведении функционального филиала или структурного подразделения ОАО "РЖД".</w:t>
      </w:r>
    </w:p>
    <w:p w:rsidR="00000000" w:rsidRPr="00B17CAA" w:rsidRDefault="00FA36D0">
      <w:bookmarkStart w:id="25" w:name="sub_10133"/>
      <w:r w:rsidRPr="00B17CAA">
        <w:t>Выверка Инструкции организовывается начальником станции примыкания железнодорожного пути необщего пользования, железнодорожного пути, находящегося в ведении функционал</w:t>
      </w:r>
      <w:r w:rsidRPr="00B17CAA">
        <w:t>ьного филиала или структурного подразделения ОАО "РЖД". В ходе выверки проверяются все экземпляры Инструкции (2 экз.).</w:t>
      </w:r>
    </w:p>
    <w:bookmarkEnd w:id="25"/>
    <w:p w:rsidR="00000000" w:rsidRPr="00B17CAA" w:rsidRDefault="00FA36D0">
      <w:r w:rsidRPr="00B17CAA">
        <w:t>В случае принадлежности железнодорожного пути необщего пользования ОАО "РЖД" выверка проводится с участием: начальника станции п</w:t>
      </w:r>
      <w:r w:rsidRPr="00B17CAA">
        <w:t>римыкания, пользователя железнодорожного пути необщего пользования, руководителя соответствующего функционального филиала или структурного подразделения ОАО "РЖД", балансодержателей объектов инфраструктуры ОАО "РЖД", расположенных в пределах железного</w:t>
      </w:r>
      <w:r w:rsidRPr="00B17CAA">
        <w:rPr>
          <w:rStyle w:val="a4"/>
          <w:color w:val="auto"/>
          <w:shd w:val="clear" w:color="auto" w:fill="F0F0F0"/>
        </w:rPr>
        <w:t>#</w:t>
      </w:r>
      <w:r w:rsidRPr="00B17CAA">
        <w:t xml:space="preserve"> пути.</w:t>
      </w:r>
    </w:p>
    <w:p w:rsidR="00000000" w:rsidRPr="00B17CAA" w:rsidRDefault="00FA36D0">
      <w:r w:rsidRPr="00B17CAA">
        <w:t>В случае принадлежности железнодорожного пути необщего пользования владельцу железнодорожного пути необщего пользования выверка проводится с участием 1 начальника станции примыкания и владел</w:t>
      </w:r>
      <w:r w:rsidRPr="00B17CAA">
        <w:t>ьца железнодорожного пути необщего пользования.</w:t>
      </w:r>
    </w:p>
    <w:p w:rsidR="00000000" w:rsidRPr="00B17CAA" w:rsidRDefault="00FA36D0">
      <w:r w:rsidRPr="00B17CAA">
        <w:t>В случае смешанной принадлежности железнодорожного пути необщего пользования ОАО "РЖД" и владельцу железнодорожного пути необщего пользования выверка проводится с участием начальника станции примыкания, балан</w:t>
      </w:r>
      <w:r w:rsidRPr="00B17CAA">
        <w:t>содержателей объектов инфраструктуры ОАО "РЖД", расположенных в пределах данного железнодорожного пути и владельца железнодорожного пути необщего пользования.</w:t>
      </w:r>
    </w:p>
    <w:p w:rsidR="00000000" w:rsidRPr="00B17CAA" w:rsidRDefault="00FA36D0">
      <w:r w:rsidRPr="00B17CAA">
        <w:t>Во всех случаях оформляется акт выверки, в котором указываются выявленные недостатки (или их отсу</w:t>
      </w:r>
      <w:r w:rsidRPr="00B17CAA">
        <w:t>тствие), сроки устранения (не более одного месяца), ответственные исполнители.</w:t>
      </w:r>
    </w:p>
    <w:p w:rsidR="00000000" w:rsidRPr="00B17CAA" w:rsidRDefault="00FA36D0">
      <w:r w:rsidRPr="00B17CAA">
        <w:t>Акты выверки оформляются в двух экземплярах: один экземпляр остается у начальника станции примыкания, другой передается владельцу железнодорожного пути необщего пользования, рук</w:t>
      </w:r>
      <w:r w:rsidRPr="00B17CAA">
        <w:t>оводителю функционального филиала или структурного подразделения ОАО "РЖД".</w:t>
      </w:r>
    </w:p>
    <w:p w:rsidR="00000000" w:rsidRPr="00B17CAA" w:rsidRDefault="00FA36D0">
      <w:r w:rsidRPr="00B17CAA">
        <w:t>Копии актов направляются в обязательном порядке в Центр организации работы железнодорожной станции и в отдел коммерческой работы в сфере грузовых перевозок Агентства фирменного тра</w:t>
      </w:r>
      <w:r w:rsidRPr="00B17CAA">
        <w:t>нспортного обслуживания. При необходимости, копии актов направляются в другие причастные подразделения для устранения несоответствий.</w:t>
      </w:r>
    </w:p>
    <w:p w:rsidR="00000000" w:rsidRPr="00B17CAA" w:rsidRDefault="00FA36D0">
      <w:r w:rsidRPr="00B17CAA">
        <w:t xml:space="preserve">Отметка о периодической выверке Инструкции проставляется начальником станции </w:t>
      </w:r>
      <w:r w:rsidRPr="00B17CAA">
        <w:lastRenderedPageBreak/>
        <w:t>примыкания и владельцем железнодорожного пути</w:t>
      </w:r>
      <w:r w:rsidRPr="00B17CAA">
        <w:t xml:space="preserve"> необщего пользования, руководителем функционального филиала или структурного подразделения ОАО "РЖД" на всех экземплярах Инструкции.</w:t>
      </w:r>
    </w:p>
    <w:p w:rsidR="00000000" w:rsidRPr="00B17CAA" w:rsidRDefault="00FA36D0">
      <w:r w:rsidRPr="00B17CAA">
        <w:t>В последующем один экземпляр Инструкции остается у начальника станции примыкания, второй передается владельцу железнодорож</w:t>
      </w:r>
      <w:r w:rsidRPr="00B17CAA">
        <w:t>ного пути необщего пользования, руководителю функционального филиала или структурного подразделения ОАО "РЖД", третий направляется в Центр организации работы станций, четвертый - в отдел коммерческой работы в сфере грузовых перевозок Агентства фирменного т</w:t>
      </w:r>
      <w:r w:rsidRPr="00B17CAA">
        <w:t>ранспортного обслуживания.</w:t>
      </w:r>
    </w:p>
    <w:p w:rsidR="00000000" w:rsidRPr="00B17CAA" w:rsidRDefault="00FA36D0">
      <w:bookmarkStart w:id="26" w:name="sub_11312"/>
      <w:r w:rsidRPr="00B17CAA">
        <w:t>После выверки Инструкции и устранения выявленных недостатков Инструкция с изменениями, дополнениями вносится в АС ЭТРАН. Причастные подразделения используют в своей работе актуальную копию Инструкции, размещенной в АС ЭТ</w:t>
      </w:r>
      <w:r w:rsidRPr="00B17CAA">
        <w:t>РАН.</w:t>
      </w:r>
    </w:p>
    <w:p w:rsidR="00000000" w:rsidRPr="00B17CAA" w:rsidRDefault="00FA36D0">
      <w:bookmarkStart w:id="27" w:name="sub_1014"/>
      <w:bookmarkEnd w:id="26"/>
      <w:r w:rsidRPr="00B17CAA">
        <w:t>14. Должностные лица, перечисленные в настоящем Порядке, несут ответственность в пределах своей компетенции за достоверность сведений и содержание Инструкции.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8" w:name="sub_1015"/>
      <w:bookmarkEnd w:id="27"/>
      <w:r w:rsidRPr="00B17CA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Распоряжением</w:t>
      </w:r>
      <w:r w:rsidRPr="00B17CAA">
        <w:rPr>
          <w:color w:val="auto"/>
          <w:shd w:val="clear" w:color="auto" w:fill="F0F0F0"/>
        </w:rPr>
        <w:t xml:space="preserve"> ОАО "РЖД" от 26 декабря 2016 г. N 2660р Порядок дополнен пунктом 15, </w:t>
      </w:r>
      <w:r w:rsidRPr="00B17CAA">
        <w:rPr>
          <w:rStyle w:val="a4"/>
          <w:color w:val="auto"/>
          <w:shd w:val="clear" w:color="auto" w:fill="F0F0F0"/>
        </w:rPr>
        <w:t>вступающим в силу</w:t>
      </w:r>
      <w:r w:rsidRPr="00B17CAA">
        <w:rPr>
          <w:color w:val="auto"/>
          <w:shd w:val="clear" w:color="auto" w:fill="F0F0F0"/>
        </w:rPr>
        <w:t xml:space="preserve"> с 1 марта 2017 г.</w:t>
      </w:r>
    </w:p>
    <w:p w:rsidR="00000000" w:rsidRPr="00B17CAA" w:rsidRDefault="00FA36D0">
      <w:r w:rsidRPr="00B17CAA">
        <w:t>15. Инструкции (изменения, дополнения) в АС ЭТРАН в виде копий, полученных путем сканирования, вносят в 2-суточный срок с даты утверждения Инструкции (изменений, дополнений):</w:t>
      </w:r>
    </w:p>
    <w:p w:rsidR="00000000" w:rsidRPr="00B17CAA" w:rsidRDefault="00FA36D0">
      <w:r w:rsidRPr="00B17CAA">
        <w:t>владелец, если железнодорожный путь необщего пользования принадлежит владельцу, п</w:t>
      </w:r>
      <w:r w:rsidRPr="00B17CAA">
        <w:t>ри наличии заключенного с ОАО "РЖД" договора об электронном обмене документами;</w:t>
      </w:r>
    </w:p>
    <w:p w:rsidR="00000000" w:rsidRPr="00B17CAA" w:rsidRDefault="00FA36D0">
      <w:r w:rsidRPr="00B17CAA">
        <w:t>работник линейного агентства фирменного транспортного обслуживания, если железнодорожный путь необщего пользования принадлежит владельцу инфраструктуры, а также если принадлежи</w:t>
      </w:r>
      <w:r w:rsidRPr="00B17CAA">
        <w:t>т владельцу при отсутствии у него заключенного договора с ОАО "РЖД" об электронном обмене документами.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9" w:name="sub_1016"/>
      <w:r w:rsidRPr="00B17CA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Распоряжением</w:t>
      </w:r>
      <w:r w:rsidRPr="00B17CAA">
        <w:rPr>
          <w:color w:val="auto"/>
          <w:shd w:val="clear" w:color="auto" w:fill="F0F0F0"/>
        </w:rPr>
        <w:t xml:space="preserve"> ОАО "РЖД" от 26 декабря 2016 </w:t>
      </w:r>
      <w:r w:rsidRPr="00B17CAA">
        <w:rPr>
          <w:color w:val="auto"/>
          <w:shd w:val="clear" w:color="auto" w:fill="F0F0F0"/>
        </w:rPr>
        <w:t xml:space="preserve">г. N 2660р Порядок дополнен пунктом 16, </w:t>
      </w:r>
      <w:r w:rsidRPr="00B17CAA">
        <w:rPr>
          <w:rStyle w:val="a4"/>
          <w:color w:val="auto"/>
          <w:shd w:val="clear" w:color="auto" w:fill="F0F0F0"/>
        </w:rPr>
        <w:t>вступающим в силу</w:t>
      </w:r>
      <w:r w:rsidRPr="00B17CAA">
        <w:rPr>
          <w:color w:val="auto"/>
          <w:shd w:val="clear" w:color="auto" w:fill="F0F0F0"/>
        </w:rPr>
        <w:t xml:space="preserve"> с 1 марта 2017 г.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r w:rsidRPr="00B17CAA">
        <w:rPr>
          <w:color w:val="auto"/>
          <w:sz w:val="16"/>
          <w:szCs w:val="16"/>
          <w:shd w:val="clear" w:color="auto" w:fill="F0F0F0"/>
        </w:rPr>
        <w:t>ГАРАНТ:</w:t>
      </w:r>
    </w:p>
    <w:p w:rsidR="00000000" w:rsidRPr="00B17CAA" w:rsidRDefault="00FA36D0">
      <w:pPr>
        <w:pStyle w:val="a6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color w:val="auto"/>
          <w:shd w:val="clear" w:color="auto" w:fill="F0F0F0"/>
        </w:rPr>
        <w:t>Нумерация пунктов приводится в соответствии с изменениями</w:t>
      </w:r>
    </w:p>
    <w:p w:rsidR="00000000" w:rsidRPr="00B17CAA" w:rsidRDefault="00FA36D0">
      <w:r w:rsidRPr="00B17CAA">
        <w:t>4.4.1. При невнесении владельцем в АС ЭТРАН Инстр</w:t>
      </w:r>
      <w:r w:rsidRPr="00B17CAA">
        <w:t>укции (изменений, дополнений) в установленный срок начальник станции примыкания передает экземпляр Инструкции работнику линейного агентства фирменного транспортного обслуживания для внесения в АС ЭТРАН.</w:t>
      </w:r>
    </w:p>
    <w:p w:rsidR="00000000" w:rsidRPr="00B17CAA" w:rsidRDefault="00FA36D0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30" w:name="sub_1017"/>
      <w:r w:rsidRPr="00B17CAA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Pr="00B17CAA" w:rsidRDefault="00FA36D0">
      <w:pPr>
        <w:pStyle w:val="a7"/>
        <w:rPr>
          <w:color w:val="auto"/>
          <w:shd w:val="clear" w:color="auto" w:fill="F0F0F0"/>
        </w:rPr>
      </w:pPr>
      <w:r w:rsidRPr="00B17CAA">
        <w:rPr>
          <w:color w:val="auto"/>
        </w:rPr>
        <w:t xml:space="preserve"> </w:t>
      </w:r>
      <w:r w:rsidRPr="00B17CAA">
        <w:rPr>
          <w:rStyle w:val="a4"/>
          <w:color w:val="auto"/>
          <w:shd w:val="clear" w:color="auto" w:fill="F0F0F0"/>
        </w:rPr>
        <w:t>Распоряжением</w:t>
      </w:r>
      <w:r w:rsidRPr="00B17CAA">
        <w:rPr>
          <w:color w:val="auto"/>
          <w:shd w:val="clear" w:color="auto" w:fill="F0F0F0"/>
        </w:rPr>
        <w:t xml:space="preserve"> ОАО "РЖД" от 26 декабря 2016 г. N 2660р Порядок дополнен пунктом 17, </w:t>
      </w:r>
      <w:r w:rsidRPr="00B17CAA">
        <w:rPr>
          <w:rStyle w:val="a4"/>
          <w:color w:val="auto"/>
          <w:shd w:val="clear" w:color="auto" w:fill="F0F0F0"/>
        </w:rPr>
        <w:t>вступающим в силу</w:t>
      </w:r>
      <w:r w:rsidRPr="00B17CAA">
        <w:rPr>
          <w:color w:val="auto"/>
          <w:shd w:val="clear" w:color="auto" w:fill="F0F0F0"/>
        </w:rPr>
        <w:t xml:space="preserve"> с 1 марта 2017 г.</w:t>
      </w:r>
    </w:p>
    <w:p w:rsidR="00000000" w:rsidRPr="00B17CAA" w:rsidRDefault="00FA36D0">
      <w:r w:rsidRPr="00B17CAA">
        <w:t>4.4.2. После вне</w:t>
      </w:r>
      <w:r w:rsidRPr="00B17CAA">
        <w:t>сения в АС ЭТРАН владельцем или работником линейного агентства фирменного транспортного обслуживания Инструкции (изменений, дополнений) в АС ЭТРАН формируется извещение об изменении файла Инструкции для обеспечения контроля инспектором агентства фирменного</w:t>
      </w:r>
      <w:r w:rsidRPr="00B17CAA">
        <w:t xml:space="preserve"> транспортного обслуживания/территориального центра фирменного транспортного обслуживания актуальности параметров действующих договоров на эксплуатацию железнодорожных путей необщего пользования, на подачу и уборку вагонов, регламентов взаимодействия (дале</w:t>
      </w:r>
      <w:r w:rsidRPr="00B17CAA">
        <w:t>е - Договоров). Одновременно извещение дублируется инспектору агентства фирменного транспортного обслуживания/территориального центра фирменного транспортного обслуживания по электронной почте.</w:t>
      </w:r>
    </w:p>
    <w:p w:rsidR="00000000" w:rsidRPr="00B17CAA" w:rsidRDefault="00FA36D0">
      <w:r w:rsidRPr="00B17CAA">
        <w:t xml:space="preserve">Для снятия информирования в АС ЭТРАН о внесенных изменениях инспектор агентства фирменного транспортного обслуживания/территориального центра фирменного транспортного обслуживания принимает решение о необходимости внесения изменений, дополнений в Договор, </w:t>
      </w:r>
      <w:r w:rsidRPr="00B17CAA">
        <w:t>подготовки проекта нового Договора или отсутствии такой необходимости.</w:t>
      </w:r>
    </w:p>
    <w:p w:rsidR="00000000" w:rsidRPr="00B17CAA" w:rsidRDefault="00FA36D0">
      <w:r w:rsidRPr="00B17CAA">
        <w:lastRenderedPageBreak/>
        <w:t>Инспектор агентства фирменного транспортного обслуживания/территориального центра фирменного транспортного обслуживания в течение двух рабочих дней обязан снять в АС ЭТРАН признак налич</w:t>
      </w:r>
      <w:r w:rsidRPr="00B17CAA">
        <w:t>ия внесенных изменений.</w:t>
      </w:r>
    </w:p>
    <w:p w:rsidR="00000000" w:rsidRPr="00B17CAA" w:rsidRDefault="00FA36D0">
      <w:r w:rsidRPr="00B17CAA">
        <w:t>В АС ЭТРАН предусмотрен контроль допуска владельца для ввода и просмотра Инструкции только этого владельца. Доступ владельца к информации об Инструкциях других владельцев исключен.</w:t>
      </w:r>
    </w:p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bookmarkStart w:id="31" w:name="sub_2000"/>
      <w:r w:rsidRPr="00B17CAA">
        <w:rPr>
          <w:color w:val="auto"/>
        </w:rPr>
        <w:t>Инструкция</w:t>
      </w:r>
      <w:r w:rsidRPr="00B17CAA">
        <w:rPr>
          <w:color w:val="auto"/>
        </w:rPr>
        <w:br/>
        <w:t>о порядке обслуживания и органи</w:t>
      </w:r>
      <w:r w:rsidRPr="00B17CAA">
        <w:rPr>
          <w:color w:val="auto"/>
        </w:rPr>
        <w:t>зации движения на железнодорожном пути необщего пользования, принадлежащем ОАО "РЖД", а также железнодорожном пути, находящемся в ведении функционального филиала или структурного подразделения ОАО "РЖД", примыкающем к станции железной дороги и (полное наим</w:t>
      </w:r>
      <w:r w:rsidRPr="00B17CAA">
        <w:rPr>
          <w:color w:val="auto"/>
        </w:rPr>
        <w:t>енование организации)/(полное наименование филиала, структурного подразделения ОАО "РЖД") примыкающем к станции __________________________________________________________</w:t>
      </w:r>
      <w:r w:rsidRPr="00B17CAA">
        <w:rPr>
          <w:color w:val="auto"/>
        </w:rPr>
        <w:br/>
        <w:t>___________ железной дороги и используемом __________________________________________</w:t>
      </w:r>
      <w:r w:rsidRPr="00B17CAA">
        <w:rPr>
          <w:color w:val="auto"/>
        </w:rPr>
        <w:t>_______________________________</w:t>
      </w:r>
      <w:r w:rsidRPr="00B17CAA">
        <w:rPr>
          <w:color w:val="auto"/>
        </w:rPr>
        <w:br/>
        <w:t>(полное наименование организации)/(полное наименование филиала, структурного подразделения ОАО "РЖД")</w:t>
      </w:r>
      <w:r w:rsidRPr="00B17CAA">
        <w:rPr>
          <w:color w:val="auto"/>
        </w:rPr>
        <w:br/>
        <w:t xml:space="preserve">(утв. </w:t>
      </w:r>
      <w:r w:rsidRPr="00B17CAA">
        <w:rPr>
          <w:rStyle w:val="a4"/>
          <w:b w:val="0"/>
          <w:bCs w:val="0"/>
          <w:color w:val="auto"/>
        </w:rPr>
        <w:t>распоряжением</w:t>
      </w:r>
      <w:r w:rsidRPr="00B17CAA">
        <w:rPr>
          <w:color w:val="auto"/>
        </w:rPr>
        <w:t xml:space="preserve"> ОАО "РЖД" от 23 декабря 2013 г. N 2859р)</w:t>
      </w:r>
    </w:p>
    <w:bookmarkEnd w:id="31"/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bookmarkStart w:id="32" w:name="sub_2001"/>
      <w:r w:rsidRPr="00B17CAA">
        <w:rPr>
          <w:color w:val="auto"/>
        </w:rPr>
        <w:t>1. Общая характеристи</w:t>
      </w:r>
      <w:r w:rsidRPr="00B17CAA">
        <w:rPr>
          <w:color w:val="auto"/>
        </w:rPr>
        <w:t>ка железнодорожного пути</w:t>
      </w:r>
    </w:p>
    <w:bookmarkEnd w:id="32"/>
    <w:p w:rsidR="00000000" w:rsidRPr="00B17CAA" w:rsidRDefault="00FA36D0"/>
    <w:p w:rsidR="00000000" w:rsidRPr="00B17CAA" w:rsidRDefault="00FA36D0">
      <w:bookmarkStart w:id="33" w:name="sub_2011"/>
      <w:r w:rsidRPr="00B17CAA">
        <w:t>1.1. Принадлежность железнодорожного пути необщего пользования или железнодорожного пути, находящегося в ведении филиала или структурного подразделения ОАО "РЖД", не являющегося железнодорожным путем необщего польз</w:t>
      </w:r>
      <w:r w:rsidRPr="00B17CAA">
        <w:t>ования (далее - железнодорожный путь)</w:t>
      </w:r>
    </w:p>
    <w:bookmarkEnd w:id="33"/>
    <w:p w:rsidR="00000000" w:rsidRPr="00B17CAA" w:rsidRDefault="00FA36D0">
      <w:r w:rsidRPr="00B17CAA">
        <w:t>Указывается, кому принадлежит железнодорожный путь. Возможна смешанная принадлежность железнодорожного пути (владелец, ОАО "РЖД"). В этом случае указывается, сколько метров пути принадлежит ОАО "РЖД" и владельц</w:t>
      </w:r>
      <w:r w:rsidRPr="00B17CAA">
        <w:t>у соответственно.</w:t>
      </w:r>
    </w:p>
    <w:p w:rsidR="00000000" w:rsidRPr="00B17CAA" w:rsidRDefault="00FA36D0">
      <w:bookmarkStart w:id="34" w:name="sub_2012"/>
      <w:r w:rsidRPr="00B17CAA">
        <w:t>1.2. Обслуживание локомотивами</w:t>
      </w:r>
    </w:p>
    <w:bookmarkEnd w:id="34"/>
    <w:p w:rsidR="00000000" w:rsidRPr="00B17CAA" w:rsidRDefault="00FA36D0">
      <w:r w:rsidRPr="00B17CAA">
        <w:t>Указывается, чьим локомотивом и маневровой бригадой обслуживается железнодорожный путь. Возможен смешанный вариант обслуживания.</w:t>
      </w:r>
    </w:p>
    <w:p w:rsidR="00000000" w:rsidRPr="00B17CAA" w:rsidRDefault="00FA36D0">
      <w:r w:rsidRPr="00B17CAA">
        <w:t>Указываются серии локомотивов, оборудование их средствами ради</w:t>
      </w:r>
      <w:r w:rsidRPr="00B17CAA">
        <w:t>освязи, состав маневровых бригад (локомотивных и составительских), количество локомотивов.</w:t>
      </w:r>
    </w:p>
    <w:p w:rsidR="00000000" w:rsidRPr="00B17CAA" w:rsidRDefault="00FA36D0">
      <w:bookmarkStart w:id="35" w:name="sub_2013"/>
      <w:r w:rsidRPr="00B17CAA">
        <w:t xml:space="preserve">1.3. Место примыкания железнодорожного пути к станции и другому железнодорожному пути и его граница (вариант приведен в </w:t>
      </w:r>
      <w:r w:rsidRPr="00B17CAA">
        <w:rPr>
          <w:rStyle w:val="a4"/>
          <w:color w:val="auto"/>
        </w:rPr>
        <w:t>приложении 1</w:t>
      </w:r>
      <w:r w:rsidRPr="00B17CAA">
        <w:t>)</w:t>
      </w:r>
    </w:p>
    <w:bookmarkEnd w:id="35"/>
    <w:p w:rsidR="00000000" w:rsidRPr="00B17CAA" w:rsidRDefault="00FA36D0">
      <w:r w:rsidRPr="00B17CAA">
        <w:t>Местом примыкания указывается:</w:t>
      </w:r>
    </w:p>
    <w:p w:rsidR="00000000" w:rsidRPr="00B17CAA" w:rsidRDefault="00FA36D0">
      <w:r w:rsidRPr="00B17CAA">
        <w:t>- стрелка N ___,</w:t>
      </w:r>
    </w:p>
    <w:p w:rsidR="00000000" w:rsidRPr="00B17CAA" w:rsidRDefault="00FA36D0">
      <w:r w:rsidRPr="00B17CAA">
        <w:t>- стрелка N ____к пути N _____,</w:t>
      </w:r>
    </w:p>
    <w:p w:rsidR="00000000" w:rsidRPr="00B17CAA" w:rsidRDefault="00FA36D0">
      <w:r w:rsidRPr="00B17CAA">
        <w:t>- стрелкой N ___на продолжении пути N ______,</w:t>
      </w:r>
    </w:p>
    <w:p w:rsidR="00000000" w:rsidRPr="00B17CAA" w:rsidRDefault="00FA36D0">
      <w:r w:rsidRPr="00B17CAA">
        <w:t>- на продолжении пути N ________.</w:t>
      </w:r>
    </w:p>
    <w:p w:rsidR="00000000" w:rsidRPr="00B17CAA" w:rsidRDefault="00FA36D0">
      <w:r w:rsidRPr="00B17CAA">
        <w:t>Сбрасывающие стрелки, сбрасывающие остяки и сбрасывающие башмаки местом примыкания не</w:t>
      </w:r>
      <w:r w:rsidRPr="00B17CAA">
        <w:t xml:space="preserve"> указываются.</w:t>
      </w:r>
    </w:p>
    <w:p w:rsidR="00000000" w:rsidRPr="00B17CAA" w:rsidRDefault="00FA36D0">
      <w:r w:rsidRPr="00B17CAA">
        <w:t>Границей железнодорожного пути указывается:</w:t>
      </w:r>
    </w:p>
    <w:p w:rsidR="00000000" w:rsidRPr="00B17CAA" w:rsidRDefault="00FA36D0">
      <w:bookmarkStart w:id="36" w:name="sub_2131"/>
      <w:r w:rsidRPr="00B17CAA">
        <w:t>1.3.1. При отсутствии электрической изоляции пути в месте примыкания - предельный столбик стрелки примыкания, если стрелка противошерстная по направлению движения на железнодорожный путь и р</w:t>
      </w:r>
      <w:r w:rsidRPr="00B17CAA">
        <w:t>асположена в границах станции или передний стык рамного рельса стрелки, если она расположена в пределах железнодорожного пути.</w:t>
      </w:r>
    </w:p>
    <w:p w:rsidR="00000000" w:rsidRPr="00B17CAA" w:rsidRDefault="00FA36D0">
      <w:bookmarkStart w:id="37" w:name="sub_2132"/>
      <w:bookmarkEnd w:id="36"/>
      <w:r w:rsidRPr="00B17CAA">
        <w:t xml:space="preserve">1.3.2. При наличии электрической изоляции - маневровый (входной, маршрутный) светофор </w:t>
      </w:r>
      <w:r w:rsidRPr="00B17CAA">
        <w:lastRenderedPageBreak/>
        <w:t>или соответствующие изолиру</w:t>
      </w:r>
      <w:r w:rsidRPr="00B17CAA">
        <w:t>ющие стыки маневрового (входного, маршрутного) светофора.</w:t>
      </w:r>
    </w:p>
    <w:p w:rsidR="00000000" w:rsidRPr="00B17CAA" w:rsidRDefault="00FA36D0">
      <w:bookmarkStart w:id="38" w:name="sub_2133"/>
      <w:bookmarkEnd w:id="37"/>
      <w:r w:rsidRPr="00B17CAA">
        <w:t>1.3.3. Если последняя станционная стрелка по направлению движения на железнодорожный путь, пошерстная, то границей железнодорожного пути указывается передний стык рамного рельса, ман</w:t>
      </w:r>
      <w:r w:rsidRPr="00B17CAA">
        <w:t>евровый (входной, маршрутный) светофор или изолирующий стык маневрового (входного, маршрутного) светофора.</w:t>
      </w:r>
    </w:p>
    <w:p w:rsidR="00000000" w:rsidRPr="00B17CAA" w:rsidRDefault="00FA36D0">
      <w:bookmarkStart w:id="39" w:name="sub_2134"/>
      <w:bookmarkEnd w:id="38"/>
      <w:r w:rsidRPr="00B17CAA">
        <w:t>1.3.4. Въездные ворота железнодорожного пути.</w:t>
      </w:r>
    </w:p>
    <w:p w:rsidR="00000000" w:rsidRPr="00B17CAA" w:rsidRDefault="00FA36D0">
      <w:bookmarkStart w:id="40" w:name="sub_2014"/>
      <w:bookmarkEnd w:id="39"/>
      <w:r w:rsidRPr="00B17CAA">
        <w:t xml:space="preserve">1.4. У границы железнодорожного пути должен быть установлен сигнальный </w:t>
      </w:r>
      <w:r w:rsidRPr="00B17CAA">
        <w:t>знак "Граница подъездного пути" или "Граница железнодорожного пути необщего пользования".</w:t>
      </w:r>
    </w:p>
    <w:p w:rsidR="00000000" w:rsidRPr="00B17CAA" w:rsidRDefault="00FA36D0">
      <w:bookmarkStart w:id="41" w:name="sub_2015"/>
      <w:bookmarkEnd w:id="40"/>
      <w:r w:rsidRPr="00B17CAA">
        <w:t>1.5. Наличие предохранительного устройства</w:t>
      </w:r>
    </w:p>
    <w:bookmarkEnd w:id="41"/>
    <w:p w:rsidR="00000000" w:rsidRPr="00B17CAA" w:rsidRDefault="00FA36D0">
      <w:r w:rsidRPr="00B17CAA">
        <w:t>Для предотвращения самопроизвольного выхода подвижного состава на железнодорожную станцию или перег</w:t>
      </w:r>
      <w:r w:rsidRPr="00B17CAA">
        <w:t>он указываются предохранительный тупик, охранная стрелка, сбрасывающая стрелка, сбрасывающий остряк или сбрасывающий башмак.</w:t>
      </w:r>
    </w:p>
    <w:p w:rsidR="00000000" w:rsidRPr="00B17CAA" w:rsidRDefault="00FA36D0">
      <w:r w:rsidRPr="00B17CAA">
        <w:t>Указывается нормальное положение стрелки, остряка, башмака: "в предохранительный тупик", "на сброс" и порядок их установки в это по</w:t>
      </w:r>
      <w:r w:rsidRPr="00B17CAA">
        <w:t>ложение, например: "... ДСП с пульта управления" или "... составитель поездов после проследования по стрелке маневрового состава", кроме случаев, когда указанные устройства оборудованы устройствами автовозврата".</w:t>
      </w:r>
    </w:p>
    <w:p w:rsidR="00000000" w:rsidRPr="00B17CAA" w:rsidRDefault="00FA36D0">
      <w:bookmarkStart w:id="42" w:name="sub_2016"/>
      <w:r w:rsidRPr="00B17CAA">
        <w:t>1.6. Характеристика путевого развития и стрелочного хозяйства железнодорожного пути</w:t>
      </w:r>
    </w:p>
    <w:bookmarkEnd w:id="42"/>
    <w:p w:rsidR="00000000" w:rsidRPr="00B17CAA" w:rsidRDefault="00FA36D0">
      <w:r w:rsidRPr="00B17CAA">
        <w:t xml:space="preserve">Указывается в виде ведомости железнодорожных путей и ведомости стрелочных переводов (при их наличии) с обязательным указанием всех данных согласно </w:t>
      </w:r>
      <w:r w:rsidRPr="00B17CAA">
        <w:rPr>
          <w:rStyle w:val="a4"/>
          <w:color w:val="auto"/>
        </w:rPr>
        <w:t>приложениям 2</w:t>
      </w:r>
      <w:r w:rsidRPr="00B17CAA">
        <w:t xml:space="preserve"> и </w:t>
      </w:r>
      <w:r w:rsidRPr="00B17CAA">
        <w:rPr>
          <w:rStyle w:val="a4"/>
          <w:color w:val="auto"/>
        </w:rPr>
        <w:t>3</w:t>
      </w:r>
      <w:r w:rsidRPr="00B17CAA">
        <w:t>.</w:t>
      </w:r>
    </w:p>
    <w:p w:rsidR="00000000" w:rsidRPr="00B17CAA" w:rsidRDefault="00FA36D0">
      <w:r w:rsidRPr="00B17CAA">
        <w:t>Также указывается полная (развернутая) длина железнодорожного пути в метрах.</w:t>
      </w:r>
    </w:p>
    <w:p w:rsidR="00000000" w:rsidRPr="00B17CAA" w:rsidRDefault="00FA36D0">
      <w:bookmarkStart w:id="43" w:name="sub_2161"/>
      <w:r w:rsidRPr="00B17CAA">
        <w:t>1.6.1. К Инструкции прилагается схематический план железнодорожного пути (</w:t>
      </w:r>
      <w:r w:rsidRPr="00B17CAA">
        <w:rPr>
          <w:rStyle w:val="a4"/>
          <w:color w:val="auto"/>
        </w:rPr>
        <w:t>приложение N 1</w:t>
      </w:r>
      <w:r w:rsidRPr="00B17CAA">
        <w:t>).</w:t>
      </w:r>
    </w:p>
    <w:p w:rsidR="00000000" w:rsidRPr="00B17CAA" w:rsidRDefault="00FA36D0">
      <w:bookmarkStart w:id="44" w:name="sub_2162"/>
      <w:bookmarkEnd w:id="43"/>
      <w:r w:rsidRPr="00B17CAA">
        <w:t>1.6.2. В тексте инструкции указывается: максимальный уклон соединительного пути (направление, величина в тысячных), минимальный радиус кривых на железнодорожном пути.</w:t>
      </w:r>
    </w:p>
    <w:bookmarkEnd w:id="44"/>
    <w:p w:rsidR="00000000" w:rsidRPr="00B17CAA" w:rsidRDefault="00FA36D0">
      <w:r w:rsidRPr="00B17CAA">
        <w:t>Продольные профили всех путей должны быть приложены к Инструкции,</w:t>
      </w:r>
      <w:r w:rsidRPr="00B17CAA">
        <w:t xml:space="preserve"> на их основании произведен расчет закрепления и внесены данные по максимальной величине уклона в соответствующую графу ведомости железнодорожных путей (согласно </w:t>
      </w:r>
      <w:r w:rsidRPr="00B17CAA">
        <w:rPr>
          <w:rStyle w:val="a4"/>
          <w:color w:val="auto"/>
        </w:rPr>
        <w:t>приложению 2</w:t>
      </w:r>
      <w:r w:rsidRPr="00B17CAA">
        <w:t>).</w:t>
      </w:r>
    </w:p>
    <w:p w:rsidR="00000000" w:rsidRPr="00B17CAA" w:rsidRDefault="00FA36D0">
      <w:r w:rsidRPr="00B17CAA">
        <w:t>Продольные профили путей проверяются в соответствии с</w:t>
      </w:r>
      <w:r w:rsidRPr="00B17CAA">
        <w:t xml:space="preserve"> требованиями положений, установленных </w:t>
      </w:r>
      <w:r w:rsidRPr="00B17CAA">
        <w:rPr>
          <w:rStyle w:val="a4"/>
          <w:color w:val="auto"/>
        </w:rPr>
        <w:t>пунктом 7 приложения N 1</w:t>
      </w:r>
      <w:r w:rsidRPr="00B17CAA">
        <w:t xml:space="preserve"> к Правилам технической эксплуатации железных дорог Российской Федерации (далее - ПТЭ).</w:t>
      </w:r>
    </w:p>
    <w:p w:rsidR="00000000" w:rsidRPr="00B17CAA" w:rsidRDefault="00FA36D0">
      <w:bookmarkStart w:id="45" w:name="sub_2163"/>
      <w:r w:rsidRPr="00B17CAA">
        <w:t>1.6.3. Имеющиеся переезды дол</w:t>
      </w:r>
      <w:r w:rsidRPr="00B17CAA">
        <w:t xml:space="preserve">жны быть показаны на схеме железнодорожного пути и в тексте Инструкции дана их характеристика, например: "нерегулируемый", "регулируемый, обслуживаемый дежурным работником" и т.д., а также указываются средства связи дежурного по переезду с ДСП станции или </w:t>
      </w:r>
      <w:r w:rsidRPr="00B17CAA">
        <w:t>ответственным работником железнодорожного пути (при их наличии). Также на схеме указываются технологические проезды.</w:t>
      </w:r>
    </w:p>
    <w:p w:rsidR="00000000" w:rsidRPr="00B17CAA" w:rsidRDefault="00FA36D0">
      <w:bookmarkStart w:id="46" w:name="sub_2017"/>
      <w:bookmarkEnd w:id="45"/>
      <w:r w:rsidRPr="00B17CAA">
        <w:t>1.7. Допускаемые скорости движения</w:t>
      </w:r>
    </w:p>
    <w:bookmarkEnd w:id="46"/>
    <w:p w:rsidR="00000000" w:rsidRPr="00B17CAA" w:rsidRDefault="00FA36D0">
      <w:r w:rsidRPr="00B17CAA">
        <w:t>Указывается максимальная скорость движения по соединительному и другим железнодо</w:t>
      </w:r>
      <w:r w:rsidRPr="00B17CAA">
        <w:t xml:space="preserve">рожным путям (указываются соответственно в ведомости железнодорожных путей согласно </w:t>
      </w:r>
      <w:r w:rsidRPr="00B17CAA">
        <w:rPr>
          <w:rStyle w:val="a4"/>
          <w:color w:val="auto"/>
        </w:rPr>
        <w:t>приложению 2</w:t>
      </w:r>
      <w:r w:rsidRPr="00B17CAA">
        <w:t>).</w:t>
      </w:r>
    </w:p>
    <w:p w:rsidR="00000000" w:rsidRPr="00B17CAA" w:rsidRDefault="00FA36D0">
      <w:bookmarkStart w:id="47" w:name="sub_2018"/>
      <w:r w:rsidRPr="00B17CAA">
        <w:t>1.8. Характеристика устройств СЦБ</w:t>
      </w:r>
    </w:p>
    <w:p w:rsidR="00000000" w:rsidRPr="00B17CAA" w:rsidRDefault="00FA36D0">
      <w:bookmarkStart w:id="48" w:name="sub_2181"/>
      <w:bookmarkEnd w:id="47"/>
      <w:r w:rsidRPr="00B17CAA">
        <w:t>1.8.1. Если движение составов по соединительному пути осуществляется поез</w:t>
      </w:r>
      <w:r w:rsidRPr="00B17CAA">
        <w:t>дным порядком, указываются средства сигнализации и связи: двусторонняя автоблокировка, полуавтоматическая блокировка, электрожезловая система и др. Указываются средства связи между ДСП и дежурным поста на железнодорожном пути.</w:t>
      </w:r>
    </w:p>
    <w:bookmarkEnd w:id="48"/>
    <w:p w:rsidR="00000000" w:rsidRPr="00B17CAA" w:rsidRDefault="00FA36D0">
      <w:r w:rsidRPr="00B17CAA">
        <w:t>При наличии на террит</w:t>
      </w:r>
      <w:r w:rsidRPr="00B17CAA">
        <w:t>ории железнодорожного пути устройств СЦБ железнодорожной станции (централизованные стрелки, маневровые светофоры и др.) в данном пункте указывается соответствующая информация.</w:t>
      </w:r>
    </w:p>
    <w:p w:rsidR="00000000" w:rsidRPr="00B17CAA" w:rsidRDefault="00FA36D0">
      <w:bookmarkStart w:id="49" w:name="sub_2182"/>
      <w:r w:rsidRPr="00B17CAA">
        <w:t>1.8.2. При наличии указывается тип устройств СЦБ на железнодорожном пути</w:t>
      </w:r>
      <w:r w:rsidRPr="00B17CAA">
        <w:t xml:space="preserve"> (ЭЦ, МКУ и др.). Указывается наличие распорядительного поста по управлению маневрами, его оснащение (пульт ЭЦ, радиосвязь и др.), кем обслуживается. Способ управления стрелками указывается также </w:t>
      </w:r>
      <w:r w:rsidRPr="00B17CAA">
        <w:lastRenderedPageBreak/>
        <w:t xml:space="preserve">в ведомости стрелочных переводов согласно </w:t>
      </w:r>
      <w:r w:rsidRPr="00B17CAA">
        <w:rPr>
          <w:rStyle w:val="a4"/>
          <w:color w:val="auto"/>
        </w:rPr>
        <w:t>приложению 3</w:t>
      </w:r>
      <w:r w:rsidRPr="00B17CAA">
        <w:t>.</w:t>
      </w:r>
    </w:p>
    <w:p w:rsidR="00000000" w:rsidRPr="00B17CAA" w:rsidRDefault="00FA36D0">
      <w:bookmarkStart w:id="50" w:name="sub_2019"/>
      <w:bookmarkEnd w:id="49"/>
      <w:r w:rsidRPr="00B17CAA">
        <w:t>1.9. Характеристика грузового хозяйства</w:t>
      </w:r>
    </w:p>
    <w:bookmarkEnd w:id="50"/>
    <w:p w:rsidR="00000000" w:rsidRPr="00B17CAA" w:rsidRDefault="00FA36D0">
      <w:r w:rsidRPr="00B17CAA">
        <w:t>Указываются устройства для погрузки-выгрузки грузов (открытые платформы, пакгаузы и др.), вместимость мест погрузки, выгрузки в физических вагонах (по родам вагонов) - пр</w:t>
      </w:r>
      <w:r w:rsidRPr="00B17CAA">
        <w:t xml:space="preserve">иведены в </w:t>
      </w:r>
      <w:r w:rsidRPr="00B17CAA">
        <w:rPr>
          <w:rStyle w:val="a4"/>
          <w:color w:val="auto"/>
        </w:rPr>
        <w:t>приложении 2</w:t>
      </w:r>
      <w:r w:rsidRPr="00B17CAA">
        <w:t>, средства механизации погрузочно-разгрузочных работ, основные виды грузов, ритмичность работы, объем грузовой работы - среднесуточная погрузка, выгрузка и другие необходимые данные.</w:t>
      </w:r>
    </w:p>
    <w:p w:rsidR="00000000" w:rsidRPr="00B17CAA" w:rsidRDefault="00FA36D0">
      <w:r w:rsidRPr="00B17CAA">
        <w:t>Указывается порядок уведо</w:t>
      </w:r>
      <w:r w:rsidRPr="00B17CAA">
        <w:t>мления о предстоящей подаче вагонов, место производства приемо-сдаточных операций и участвующие в них работники со стороны железнодорожной станции (приемосдатчика или другого работника) и железнодорожного пути, наличие устройств для осмотра вагонов в комме</w:t>
      </w:r>
      <w:r w:rsidRPr="00B17CAA">
        <w:t>рческом отношении (смотровые эстакады и др.).</w:t>
      </w:r>
    </w:p>
    <w:p w:rsidR="00000000" w:rsidRPr="00B17CAA" w:rsidRDefault="00FA36D0">
      <w:bookmarkStart w:id="51" w:name="sub_20110"/>
      <w:r w:rsidRPr="00B17CAA">
        <w:t>1.10. Ответственные лица</w:t>
      </w:r>
    </w:p>
    <w:bookmarkEnd w:id="51"/>
    <w:p w:rsidR="00000000" w:rsidRPr="00B17CAA" w:rsidRDefault="00FA36D0">
      <w:r w:rsidRPr="00B17CAA">
        <w:t>Ответственный (постоянный или сменный) работник железнодорожного пути за обеспечение безопасности и взаимодействие со станцией по вопросам движения (сменный мастер, ди</w:t>
      </w:r>
      <w:r w:rsidRPr="00B17CAA">
        <w:t>спетчер, дежурный по железнодорожному пути и др.), его местонахождение, средства связи, номер телефона.</w:t>
      </w:r>
    </w:p>
    <w:p w:rsidR="00000000" w:rsidRPr="00B17CAA" w:rsidRDefault="00FA36D0">
      <w:r w:rsidRPr="00B17CAA">
        <w:t>Персональный список ответственных работников устанавливается приказом руководителя организации, копии действующего приказа хранится вместе с экземплярам</w:t>
      </w:r>
      <w:r w:rsidRPr="00B17CAA">
        <w:t>и Инструкции на станции и на железнодорожном пути и обновляется ежегодно по состоянию на 1 января, а также при изменении ответственных лиц (фамилия, имя, отчество, номер телефона и т.д.) и контактных данных.</w:t>
      </w:r>
    </w:p>
    <w:p w:rsidR="00000000" w:rsidRPr="00B17CAA" w:rsidRDefault="00FA36D0">
      <w:bookmarkStart w:id="52" w:name="sub_20111"/>
      <w:r w:rsidRPr="00B17CAA">
        <w:t>1.11. Примечания</w:t>
      </w:r>
    </w:p>
    <w:bookmarkEnd w:id="52"/>
    <w:p w:rsidR="00000000" w:rsidRPr="00B17CAA" w:rsidRDefault="00FA36D0">
      <w:r w:rsidRPr="00B17CAA">
        <w:t>При наличии н</w:t>
      </w:r>
      <w:r w:rsidRPr="00B17CAA">
        <w:t>а железнодорожном пути каких-либо средств или условий, не перечисленных выше, они указываются в данном разделе Инструкции.</w:t>
      </w:r>
    </w:p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bookmarkStart w:id="53" w:name="sub_2002"/>
      <w:r w:rsidRPr="00B17CAA">
        <w:rPr>
          <w:color w:val="auto"/>
        </w:rPr>
        <w:t>2. Порядок подачи, уборки вагонов со станции на железнодорожный путь и обратно</w:t>
      </w:r>
    </w:p>
    <w:bookmarkEnd w:id="53"/>
    <w:p w:rsidR="00000000" w:rsidRPr="00B17CAA" w:rsidRDefault="00FA36D0"/>
    <w:p w:rsidR="00000000" w:rsidRPr="00B17CAA" w:rsidRDefault="00FA36D0">
      <w:bookmarkStart w:id="54" w:name="sub_2021"/>
      <w:r w:rsidRPr="00B17CAA">
        <w:t>2.1. Порядок обслуживания ло</w:t>
      </w:r>
      <w:r w:rsidRPr="00B17CAA">
        <w:t>комотивами</w:t>
      </w:r>
    </w:p>
    <w:bookmarkEnd w:id="54"/>
    <w:p w:rsidR="00000000" w:rsidRPr="00B17CAA" w:rsidRDefault="00FA36D0">
      <w:r w:rsidRPr="00B17CAA">
        <w:t>Поездными или маневровыми с указанием их типа.</w:t>
      </w:r>
    </w:p>
    <w:p w:rsidR="00000000" w:rsidRPr="00B17CAA" w:rsidRDefault="00FA36D0">
      <w:bookmarkStart w:id="55" w:name="sub_2022"/>
      <w:r w:rsidRPr="00B17CAA">
        <w:t>2.2. Величина максимального состава</w:t>
      </w:r>
    </w:p>
    <w:bookmarkEnd w:id="55"/>
    <w:p w:rsidR="00000000" w:rsidRPr="00B17CAA" w:rsidRDefault="00FA36D0">
      <w:r w:rsidRPr="00B17CAA">
        <w:t>По длине (в условиях и при необходимости - в физических вагонах определенных родов) и весу в тоннах. При наличии разной величины максималь</w:t>
      </w:r>
      <w:r w:rsidRPr="00B17CAA">
        <w:t>ного состава при подаче и уборке вагонов они оказываются отдельно по каждой операции, а также по разным типам локомотивов.</w:t>
      </w:r>
    </w:p>
    <w:p w:rsidR="00000000" w:rsidRPr="00B17CAA" w:rsidRDefault="00FA36D0">
      <w:bookmarkStart w:id="56" w:name="sub_2023"/>
      <w:r w:rsidRPr="00B17CAA">
        <w:t>2.3. Порядок включения автотормозов на станции</w:t>
      </w:r>
    </w:p>
    <w:bookmarkEnd w:id="56"/>
    <w:p w:rsidR="00000000" w:rsidRPr="00B17CAA" w:rsidRDefault="00FA36D0">
      <w:r w:rsidRPr="00B17CAA">
        <w:t>Кто включает, опробует и вручает машинисту справку формы ВУ-45, как убеждается в этом ДСП станции.</w:t>
      </w:r>
    </w:p>
    <w:p w:rsidR="00000000" w:rsidRPr="00B17CAA" w:rsidRDefault="00FA36D0">
      <w:bookmarkStart w:id="57" w:name="sub_2024"/>
      <w:r w:rsidRPr="00B17CAA">
        <w:t>2.4. Порядок согласования движения составов между ДСП станции и работником железнодорожного пути</w:t>
      </w:r>
    </w:p>
    <w:p w:rsidR="00000000" w:rsidRPr="00B17CAA" w:rsidRDefault="00FA36D0">
      <w:bookmarkStart w:id="58" w:name="sub_2025"/>
      <w:bookmarkEnd w:id="57"/>
      <w:r w:rsidRPr="00B17CAA">
        <w:t>2.5. Порядок выезда состава со станц</w:t>
      </w:r>
      <w:r w:rsidRPr="00B17CAA">
        <w:t>ии</w:t>
      </w:r>
    </w:p>
    <w:bookmarkEnd w:id="58"/>
    <w:p w:rsidR="00000000" w:rsidRPr="00B17CAA" w:rsidRDefault="00FA36D0">
      <w:r w:rsidRPr="00B17CAA">
        <w:t>По разрешающему показанию выходного (маневрового, маршрутного) светофора (последнего по отправлению со станции), указанию ДСП по радиосвязи и др.</w:t>
      </w:r>
    </w:p>
    <w:p w:rsidR="00000000" w:rsidRPr="00B17CAA" w:rsidRDefault="00FA36D0">
      <w:bookmarkStart w:id="59" w:name="sub_2026"/>
      <w:r w:rsidRPr="00B17CAA">
        <w:t>2.6. Порядок следования состава на железнодорожный путь</w:t>
      </w:r>
    </w:p>
    <w:bookmarkEnd w:id="59"/>
    <w:p w:rsidR="00000000" w:rsidRPr="00B17CAA" w:rsidRDefault="00FA36D0">
      <w:r w:rsidRPr="00B17CAA">
        <w:t>Локомотивом или вагонами вп</w:t>
      </w:r>
      <w:r w:rsidRPr="00B17CAA">
        <w:t>еред, указывается местонахождение составителя поездов (кондуктора), порядок проследования переездов, проездов, перевода и запирания нецентрализованных стрелок (если они имеются по маршруту следования состава), порядок открытия въездных ворот по ходу движен</w:t>
      </w:r>
      <w:r w:rsidRPr="00B17CAA">
        <w:t>ия (если они имеются по маршруту следования).</w:t>
      </w:r>
    </w:p>
    <w:p w:rsidR="00000000" w:rsidRPr="00B17CAA" w:rsidRDefault="00FA36D0">
      <w:bookmarkStart w:id="60" w:name="sub_2027"/>
      <w:r w:rsidRPr="00B17CAA">
        <w:t>2.7. Порядок въезда состава на железнодорожный путь</w:t>
      </w:r>
    </w:p>
    <w:bookmarkEnd w:id="60"/>
    <w:p w:rsidR="00000000" w:rsidRPr="00B17CAA" w:rsidRDefault="00FA36D0">
      <w:r w:rsidRPr="00B17CAA">
        <w:t>По разрешающему показанию входного (маневрового, маршрутного) светофора, указанию (сигналу) работника железнодорожного пути и др.</w:t>
      </w:r>
    </w:p>
    <w:p w:rsidR="00000000" w:rsidRPr="00B17CAA" w:rsidRDefault="00FA36D0">
      <w:bookmarkStart w:id="61" w:name="sub_2271"/>
      <w:r w:rsidRPr="00B17CAA">
        <w:lastRenderedPageBreak/>
        <w:t>2.7.</w:t>
      </w:r>
      <w:r w:rsidRPr="00B17CAA">
        <w:t>1. Указывается на какой путь прибывает состав, кто встречает его, место встречи маневрового состава (поезда), порядок согласования плана маневровой работы составителя поездов станции (кондуктора) с работником железнодорожного пути, кто осуществляет закрепл</w:t>
      </w:r>
      <w:r w:rsidRPr="00B17CAA">
        <w:t xml:space="preserve">ение вагонов, кто осуществляет контроль за закреплением вагонов после отцепки локомотива - в соответствии с </w:t>
      </w:r>
      <w:r w:rsidRPr="00B17CAA">
        <w:rPr>
          <w:rStyle w:val="a4"/>
          <w:color w:val="auto"/>
        </w:rPr>
        <w:t>разделом 4</w:t>
      </w:r>
      <w:r w:rsidRPr="00B17CAA">
        <w:t xml:space="preserve"> Инструкции.</w:t>
      </w:r>
    </w:p>
    <w:p w:rsidR="00000000" w:rsidRPr="00B17CAA" w:rsidRDefault="00FA36D0">
      <w:bookmarkStart w:id="62" w:name="sub_2272"/>
      <w:bookmarkEnd w:id="61"/>
      <w:r w:rsidRPr="00B17CAA">
        <w:t>2.7.2. Указывается порядок отцепки (при необходимости - обгона) локомотива, прицепк</w:t>
      </w:r>
      <w:r w:rsidRPr="00B17CAA">
        <w:t>и его к вагонам, подлежащим уборке на станцию, закрепления и снятия закрепления, включения автотормозов и выезда состава с железнодорожного пути на станцию.</w:t>
      </w:r>
    </w:p>
    <w:p w:rsidR="00000000" w:rsidRPr="00B17CAA" w:rsidRDefault="00FA36D0">
      <w:bookmarkStart w:id="63" w:name="sub_2028"/>
      <w:bookmarkEnd w:id="62"/>
      <w:r w:rsidRPr="00B17CAA">
        <w:t xml:space="preserve">2.8. Порядок обратного следования состава - аналогично </w:t>
      </w:r>
      <w:r w:rsidRPr="00B17CAA">
        <w:rPr>
          <w:rStyle w:val="a4"/>
          <w:color w:val="auto"/>
        </w:rPr>
        <w:t>пункт</w:t>
      </w:r>
      <w:r w:rsidRPr="00B17CAA">
        <w:rPr>
          <w:rStyle w:val="a4"/>
          <w:color w:val="auto"/>
        </w:rPr>
        <w:t>у 2.6</w:t>
      </w:r>
    </w:p>
    <w:p w:rsidR="00000000" w:rsidRPr="00B17CAA" w:rsidRDefault="00FA36D0">
      <w:bookmarkStart w:id="64" w:name="sub_2029"/>
      <w:bookmarkEnd w:id="63"/>
      <w:r w:rsidRPr="00B17CAA">
        <w:t>2.9. Порядок въезда состава на станцию</w:t>
      </w:r>
    </w:p>
    <w:bookmarkEnd w:id="64"/>
    <w:p w:rsidR="00000000" w:rsidRPr="00B17CAA" w:rsidRDefault="00FA36D0">
      <w:r w:rsidRPr="00B17CAA">
        <w:t>По разрешающему показанию входного (маневрового, маршрутного) светофора, указанию ДСП по радиосвязи и др.</w:t>
      </w:r>
    </w:p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bookmarkStart w:id="65" w:name="sub_2003"/>
      <w:r w:rsidRPr="00B17CAA">
        <w:rPr>
          <w:color w:val="auto"/>
        </w:rPr>
        <w:t>3. Маневровая работа на железнодорожном пути</w:t>
      </w:r>
    </w:p>
    <w:bookmarkEnd w:id="65"/>
    <w:p w:rsidR="00000000" w:rsidRPr="00B17CAA" w:rsidRDefault="00FA36D0"/>
    <w:p w:rsidR="00000000" w:rsidRPr="00B17CAA" w:rsidRDefault="00FA36D0">
      <w:bookmarkStart w:id="66" w:name="sub_2031"/>
      <w:r w:rsidRPr="00B17CAA">
        <w:t>3.1. По</w:t>
      </w:r>
      <w:r w:rsidRPr="00B17CAA">
        <w:t>рядок выполнения маневровой работы</w:t>
      </w:r>
    </w:p>
    <w:bookmarkEnd w:id="66"/>
    <w:p w:rsidR="00000000" w:rsidRPr="00B17CAA" w:rsidRDefault="00FA36D0">
      <w:r w:rsidRPr="00B17CAA">
        <w:t>Указывается, каким локомотивом (ОАО "РЖД", организации) производятся маневры, кто распоряжается маневрами, кто является руководителем маневров и кто переводит стрелки (готовит маршрут).</w:t>
      </w:r>
    </w:p>
    <w:p w:rsidR="00000000" w:rsidRPr="00B17CAA" w:rsidRDefault="00FA36D0">
      <w:bookmarkStart w:id="67" w:name="sub_2032"/>
      <w:r w:rsidRPr="00B17CAA">
        <w:t>3.2. Порядок расста</w:t>
      </w:r>
      <w:r w:rsidRPr="00B17CAA">
        <w:t>новки вагонов под грузовые операции, уборки их с мест погрузки, выгрузки, формирования составов для выводки с железнодорожного пути.</w:t>
      </w:r>
    </w:p>
    <w:p w:rsidR="00000000" w:rsidRPr="00B17CAA" w:rsidRDefault="00FA36D0">
      <w:bookmarkStart w:id="68" w:name="sub_2321"/>
      <w:bookmarkEnd w:id="67"/>
      <w:r w:rsidRPr="00B17CAA">
        <w:t>3.2.1. Отдельным пунктом указывается порядок работы с вагонами, загруженными опасными грузами, а также нега</w:t>
      </w:r>
      <w:r w:rsidRPr="00B17CAA">
        <w:t>баритными грузами (с указанием предназначенных для этого путей) и мер безопасности при работе с ними.</w:t>
      </w:r>
    </w:p>
    <w:p w:rsidR="00000000" w:rsidRPr="00B17CAA" w:rsidRDefault="00FA36D0">
      <w:bookmarkStart w:id="69" w:name="sub_2033"/>
      <w:bookmarkEnd w:id="68"/>
      <w:r w:rsidRPr="00B17CAA">
        <w:t>3.3. Порядок приготовления маневровых маршрутов</w:t>
      </w:r>
    </w:p>
    <w:bookmarkEnd w:id="69"/>
    <w:p w:rsidR="00000000" w:rsidRPr="00B17CAA" w:rsidRDefault="00FA36D0">
      <w:r w:rsidRPr="00B17CAA">
        <w:t>Указывается: с поста ЭЦ или вручную, должность работника ОАО "РЖД" или железнодоро</w:t>
      </w:r>
      <w:r w:rsidRPr="00B17CAA">
        <w:t>жного пути, как передается машинисту и составителю поездов сообщение (сигнал) о готовности маршрута (разрешающим показанием маневрового (выходного, маршрутного) светофора, по радиосвязи, ручным сигналом и др.).</w:t>
      </w:r>
    </w:p>
    <w:p w:rsidR="00000000" w:rsidRPr="00B17CAA" w:rsidRDefault="00FA36D0">
      <w:bookmarkStart w:id="70" w:name="sub_2034"/>
      <w:r w:rsidRPr="00B17CAA">
        <w:t>3.4. Другие данные, отражающие особен</w:t>
      </w:r>
      <w:r w:rsidRPr="00B17CAA">
        <w:t>ности производства маневров в Местных условиях</w:t>
      </w:r>
    </w:p>
    <w:bookmarkEnd w:id="70"/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bookmarkStart w:id="71" w:name="sub_2004"/>
      <w:r w:rsidRPr="00B17CAA">
        <w:rPr>
          <w:color w:val="auto"/>
        </w:rPr>
        <w:t>4. Закрепление вагонов на железнодорожном пути</w:t>
      </w:r>
    </w:p>
    <w:bookmarkEnd w:id="71"/>
    <w:p w:rsidR="00000000" w:rsidRPr="00B17CAA" w:rsidRDefault="00FA36D0"/>
    <w:p w:rsidR="00000000" w:rsidRPr="00B17CAA" w:rsidRDefault="00FA36D0">
      <w:bookmarkStart w:id="72" w:name="sub_2041"/>
      <w:r w:rsidRPr="00B17CAA">
        <w:t xml:space="preserve">4.1. Порядок и нормы закрепления вагонов на всех путях указываются в таблице, приведенной в </w:t>
      </w:r>
      <w:r w:rsidRPr="00B17CAA">
        <w:rPr>
          <w:rStyle w:val="a4"/>
          <w:color w:val="auto"/>
        </w:rPr>
        <w:t>приложении 4</w:t>
      </w:r>
      <w:r w:rsidRPr="00B17CAA">
        <w:t>.</w:t>
      </w:r>
    </w:p>
    <w:bookmarkEnd w:id="72"/>
    <w:p w:rsidR="00000000" w:rsidRPr="00B17CAA" w:rsidRDefault="00FA36D0">
      <w:r w:rsidRPr="00B17CAA">
        <w:t>Исходными данными для расчета норм закрепления являются продольные профили путей.</w:t>
      </w:r>
    </w:p>
    <w:p w:rsidR="00000000" w:rsidRPr="00B17CAA" w:rsidRDefault="00FA36D0">
      <w:r w:rsidRPr="00B17CAA">
        <w:t xml:space="preserve">Порядок расчета норм закрепления установлен требованиями </w:t>
      </w:r>
      <w:r w:rsidRPr="00B17CAA">
        <w:rPr>
          <w:rStyle w:val="a4"/>
          <w:color w:val="auto"/>
        </w:rPr>
        <w:t>приложения N 17</w:t>
      </w:r>
      <w:r w:rsidRPr="00B17CAA">
        <w:t xml:space="preserve"> Инструкции по движению поездов и маневровой работе на железнодорожном транспорте Российской Федерации, утвержденных </w:t>
      </w:r>
      <w:r w:rsidRPr="00B17CAA">
        <w:rPr>
          <w:rStyle w:val="a4"/>
          <w:color w:val="auto"/>
        </w:rPr>
        <w:t>Приказом</w:t>
      </w:r>
      <w:r w:rsidRPr="00B17CAA">
        <w:t xml:space="preserve"> Минтранса России от 4 июня 2012 года N 162 (далее - ИДП). Допускае</w:t>
      </w:r>
      <w:r w:rsidRPr="00B17CAA">
        <w:t>тся производить расчет закрепления с использованием автоматизированной системы расчета норм закрепления.</w:t>
      </w:r>
    </w:p>
    <w:p w:rsidR="00000000" w:rsidRPr="00B17CAA" w:rsidRDefault="00FA36D0">
      <w:bookmarkStart w:id="73" w:name="sub_2042"/>
      <w:r w:rsidRPr="00B17CAA">
        <w:t xml:space="preserve">4.2. Регламент выполнения операций по закреплению устанавливается в соответствии с требованиями </w:t>
      </w:r>
      <w:r w:rsidRPr="00B17CAA">
        <w:rPr>
          <w:rStyle w:val="a4"/>
          <w:color w:val="auto"/>
        </w:rPr>
        <w:t>приложения N 20</w:t>
      </w:r>
      <w:r w:rsidRPr="00B17CAA">
        <w:t xml:space="preserve"> к ИДП с учетом местных особенностей.</w:t>
      </w:r>
    </w:p>
    <w:p w:rsidR="00000000" w:rsidRPr="00B17CAA" w:rsidRDefault="00FA36D0">
      <w:bookmarkStart w:id="74" w:name="sub_2043"/>
      <w:bookmarkEnd w:id="73"/>
      <w:r w:rsidRPr="00B17CAA">
        <w:t>4.3. Наличие, порядок хранения и клеймение тормозных башмаков</w:t>
      </w:r>
    </w:p>
    <w:p w:rsidR="00000000" w:rsidRPr="00B17CAA" w:rsidRDefault="00FA36D0">
      <w:bookmarkStart w:id="75" w:name="sub_2044"/>
      <w:bookmarkEnd w:id="74"/>
      <w:r w:rsidRPr="00B17CAA">
        <w:t>4.4. Ответственность</w:t>
      </w:r>
    </w:p>
    <w:bookmarkEnd w:id="75"/>
    <w:p w:rsidR="00000000" w:rsidRPr="00B17CAA" w:rsidRDefault="00FA36D0">
      <w:r w:rsidRPr="00B17CAA">
        <w:t>Указывается, кто является ответственным за закрепление и и</w:t>
      </w:r>
      <w:r w:rsidRPr="00B17CAA">
        <w:t xml:space="preserve">зъятие тормозных башмаков при подаче, уборке вагонов на выставочном пути (например, составитель поездов станции) и на местах погрузки, выгрузки грузов, сохранность тормозных башмаков (например, сменный мастер </w:t>
      </w:r>
      <w:r w:rsidRPr="00B17CAA">
        <w:lastRenderedPageBreak/>
        <w:t xml:space="preserve">железнодорожного пути), а также после прицепки </w:t>
      </w:r>
      <w:r w:rsidRPr="00B17CAA">
        <w:t>или отцепки локомотива от состава.</w:t>
      </w:r>
    </w:p>
    <w:p w:rsidR="00000000" w:rsidRPr="00B17CAA" w:rsidRDefault="00FA36D0">
      <w:r w:rsidRPr="00B17CAA">
        <w:t xml:space="preserve">Персональный список ответственных работников железнодорожного пути, ответственных за закрепление вагонов после отцепки от локомотива, устанавливается приказом руководителя организации, копия действующего приказа хранится </w:t>
      </w:r>
      <w:r w:rsidRPr="00B17CAA">
        <w:t>вместе с экземплярами Инструкции на станции и на железнодорожном пути и обновляется ежегодно по состоянию на 1 января.</w:t>
      </w:r>
    </w:p>
    <w:p w:rsidR="00000000" w:rsidRPr="00B17CAA" w:rsidRDefault="00FA36D0">
      <w:r w:rsidRPr="00B17CAA">
        <w:t>Персональный список ответственных работников железнодорожного пути, ответственных за правильность закрепления железнодорожного подвижного</w:t>
      </w:r>
      <w:r w:rsidRPr="00B17CAA">
        <w:t xml:space="preserve"> состава и сохранность тормозных башмаков, находящихся под железнодорожным составом и специальных стеллажах (пирамидах), устанавливается приказом руководителя организации. Копия приказа хранится вместе с экземплярами Инструкции на станции и на железнодорож</w:t>
      </w:r>
      <w:r w:rsidRPr="00B17CAA">
        <w:t>ном пути и обновляется ежегодно по состоянию на 1 января или с изменением ответственных лиц.</w:t>
      </w:r>
    </w:p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bookmarkStart w:id="76" w:name="sub_2005"/>
      <w:r w:rsidRPr="00B17CAA">
        <w:rPr>
          <w:color w:val="auto"/>
        </w:rPr>
        <w:t>5. Техника безопасности</w:t>
      </w:r>
    </w:p>
    <w:bookmarkEnd w:id="76"/>
    <w:p w:rsidR="00000000" w:rsidRPr="00B17CAA" w:rsidRDefault="00FA36D0"/>
    <w:p w:rsidR="00000000" w:rsidRPr="00B17CAA" w:rsidRDefault="00FA36D0">
      <w:bookmarkStart w:id="77" w:name="sub_2051"/>
      <w:r w:rsidRPr="00B17CAA">
        <w:t>5.1. Обязанности работников</w:t>
      </w:r>
    </w:p>
    <w:bookmarkEnd w:id="77"/>
    <w:p w:rsidR="00000000" w:rsidRPr="00B17CAA" w:rsidRDefault="00FA36D0">
      <w:r w:rsidRPr="00B17CAA">
        <w:t>Работники ОАО "РЖД" и железнодорожного пути обязаны соблюдать требования Прав</w:t>
      </w:r>
      <w:r w:rsidRPr="00B17CAA">
        <w:t xml:space="preserve">ил техники безопасности, </w:t>
      </w:r>
      <w:r w:rsidRPr="00B17CAA">
        <w:rPr>
          <w:rStyle w:val="a4"/>
          <w:color w:val="auto"/>
        </w:rPr>
        <w:t>Инструкции</w:t>
      </w:r>
      <w:r w:rsidRPr="00B17CAA">
        <w:t xml:space="preserve"> составителю поездов и помощнику составителя поездов, других должностных инструкций, местных инструкций по охране труда станции и организации, а также нас</w:t>
      </w:r>
      <w:r w:rsidRPr="00B17CAA">
        <w:t>тоящей Инструкции.</w:t>
      </w:r>
    </w:p>
    <w:p w:rsidR="00000000" w:rsidRPr="00B17CAA" w:rsidRDefault="00FA36D0">
      <w:bookmarkStart w:id="78" w:name="sub_2052"/>
      <w:r w:rsidRPr="00B17CAA">
        <w:t>5.2. Местные особенности</w:t>
      </w:r>
    </w:p>
    <w:bookmarkEnd w:id="78"/>
    <w:p w:rsidR="00000000" w:rsidRPr="00B17CAA" w:rsidRDefault="00FA36D0">
      <w:r w:rsidRPr="00B17CAA">
        <w:t>Указываются негабаритные и опасные места (при необходимости указывается соответствующая таблица), въездные ворота, порядок их проследования, местонахождение составителя поездов при движении маневр</w:t>
      </w:r>
      <w:r w:rsidRPr="00B17CAA">
        <w:t>ового состава (при необходимости - по каждому пути) и другие требования, исходя из местных условий.</w:t>
      </w:r>
    </w:p>
    <w:p w:rsidR="00000000" w:rsidRPr="00B17CAA" w:rsidRDefault="00FA36D0">
      <w:bookmarkStart w:id="79" w:name="sub_2053"/>
      <w:r w:rsidRPr="00B17CAA">
        <w:t>5.3. Ответственность за:</w:t>
      </w:r>
    </w:p>
    <w:bookmarkEnd w:id="79"/>
    <w:p w:rsidR="00000000" w:rsidRPr="00B17CAA" w:rsidRDefault="00FA36D0">
      <w:r w:rsidRPr="00B17CAA">
        <w:t>- состояние территории железнодорожного пути, обеспечивающее безопасные условия работы маневровых и составительских</w:t>
      </w:r>
      <w:r w:rsidRPr="00B17CAA">
        <w:t xml:space="preserve"> бригад, приемосдатчиков груза и багажа и других работников;</w:t>
      </w:r>
    </w:p>
    <w:p w:rsidR="00000000" w:rsidRPr="00B17CAA" w:rsidRDefault="00FA36D0">
      <w:r w:rsidRPr="00B17CAA">
        <w:t>- очистку путей, стрелочных переводов, междупутий, соблюдение габаритов (в том числе при выгрузке грузов согласно ПТЭ);</w:t>
      </w:r>
    </w:p>
    <w:p w:rsidR="00000000" w:rsidRPr="00B17CAA" w:rsidRDefault="00FA36D0">
      <w:r w:rsidRPr="00B17CAA">
        <w:t>- освещение, исправность технических средств и инвентаря, обозначение негаб</w:t>
      </w:r>
      <w:r w:rsidRPr="00B17CAA">
        <w:t>аритных и опасных мест, переездов и другие условия.</w:t>
      </w:r>
    </w:p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bookmarkStart w:id="80" w:name="sub_2006"/>
      <w:r w:rsidRPr="00B17CAA">
        <w:rPr>
          <w:color w:val="auto"/>
        </w:rPr>
        <w:t>6. Дополнительно</w:t>
      </w:r>
    </w:p>
    <w:bookmarkEnd w:id="80"/>
    <w:p w:rsidR="00000000" w:rsidRPr="00B17CAA" w:rsidRDefault="00FA36D0"/>
    <w:p w:rsidR="00000000" w:rsidRPr="00B17CAA" w:rsidRDefault="00FA36D0">
      <w:bookmarkStart w:id="81" w:name="sub_2061"/>
      <w:r w:rsidRPr="00B17CAA">
        <w:t>6.1. По вопросам, не предусмотренным настоящей Инструкцией, работники ОАО "РЖД" и железнодорожного пути обязаны руководствоваться требованиями Правил технической</w:t>
      </w:r>
      <w:r w:rsidRPr="00B17CAA">
        <w:t xml:space="preserve"> эксплуатации, техническо-распорядительного акта железнодорожных станций, другими действующими документами по обеспечению безопасности движения, сохранности вагонного парка и охраны труда.</w:t>
      </w:r>
    </w:p>
    <w:bookmarkEnd w:id="81"/>
    <w:p w:rsidR="00000000" w:rsidRPr="00B17CAA" w:rsidRDefault="00FA36D0">
      <w:r w:rsidRPr="00B17CAA">
        <w:rPr>
          <w:rStyle w:val="a3"/>
          <w:color w:val="auto"/>
        </w:rPr>
        <w:t>Примечание:</w:t>
      </w:r>
      <w:r w:rsidRPr="00B17CAA">
        <w:t xml:space="preserve"> В Инструкцию могут быть дополнительно включены </w:t>
      </w:r>
      <w:r w:rsidRPr="00B17CAA">
        <w:t>и другие положения по обязанностям работников ОАО "РЖД" и железнодорожного пути, но не дублирующие действующие документы общесетевого (общегосударственного) значения.</w:t>
      </w:r>
    </w:p>
    <w:p w:rsidR="00000000" w:rsidRPr="00B17CAA" w:rsidRDefault="00FA36D0">
      <w:r w:rsidRPr="00B17CAA">
        <w:t>Всякие выписки из этих документов в Инструкции должны быть исключены.</w:t>
      </w:r>
    </w:p>
    <w:p w:rsidR="00000000" w:rsidRPr="00B17CAA" w:rsidRDefault="00FA36D0">
      <w:r w:rsidRPr="00B17CAA">
        <w:t>Приложения к Инстру</w:t>
      </w:r>
      <w:r w:rsidRPr="00B17CAA">
        <w:t xml:space="preserve">кции: перечисляются все приложения, упомянутые в тексте Инструкции в качестве обязательных: </w:t>
      </w:r>
      <w:r w:rsidRPr="00B17CAA">
        <w:rPr>
          <w:rStyle w:val="a4"/>
          <w:color w:val="auto"/>
        </w:rPr>
        <w:t>N 1</w:t>
      </w:r>
      <w:r w:rsidRPr="00B17CAA">
        <w:t xml:space="preserve">, </w:t>
      </w:r>
      <w:r w:rsidRPr="00B17CAA">
        <w:rPr>
          <w:rStyle w:val="a4"/>
          <w:color w:val="auto"/>
        </w:rPr>
        <w:t>2</w:t>
      </w:r>
      <w:r w:rsidRPr="00B17CAA">
        <w:t xml:space="preserve">, </w:t>
      </w:r>
      <w:r w:rsidRPr="00B17CAA">
        <w:rPr>
          <w:rStyle w:val="a4"/>
          <w:color w:val="auto"/>
        </w:rPr>
        <w:t>3</w:t>
      </w:r>
      <w:r w:rsidRPr="00B17CAA">
        <w:t xml:space="preserve">, </w:t>
      </w:r>
      <w:r w:rsidRPr="00B17CAA">
        <w:rPr>
          <w:rStyle w:val="a4"/>
          <w:color w:val="auto"/>
        </w:rPr>
        <w:t>4</w:t>
      </w:r>
      <w:r w:rsidRPr="00B17CAA">
        <w:t>, продольные профили путей (в экземплярах началь</w:t>
      </w:r>
      <w:r w:rsidRPr="00B17CAA">
        <w:t xml:space="preserve">ника станции и организации, филиала/структурного подразделения ОАО "РЖД"), расчет норм закрепления (в случае использования автоматизированной системы расчета прикладывается </w:t>
      </w:r>
      <w:r w:rsidRPr="00B17CAA">
        <w:lastRenderedPageBreak/>
        <w:t>распечатка расчета).</w:t>
      </w:r>
    </w:p>
    <w:p w:rsidR="00000000" w:rsidRPr="00B17CAA" w:rsidRDefault="00FA36D0">
      <w:r w:rsidRPr="00B17CAA">
        <w:t>Подписи:</w:t>
      </w:r>
    </w:p>
    <w:p w:rsidR="00000000" w:rsidRPr="00B17CAA" w:rsidRDefault="00FA36D0">
      <w:r w:rsidRPr="00B17CAA">
        <w:t>Инструкция проверяется, согласовывается и утверждаетс</w:t>
      </w:r>
      <w:r w:rsidRPr="00B17CAA">
        <w:t xml:space="preserve">я в соответствии с перечнем лиц, установленных требованиями </w:t>
      </w:r>
      <w:r w:rsidRPr="00B17CAA">
        <w:rPr>
          <w:rStyle w:val="a4"/>
          <w:color w:val="auto"/>
        </w:rPr>
        <w:t>Порядка</w:t>
      </w:r>
      <w:r w:rsidRPr="00B17CAA">
        <w:t xml:space="preserve"> разработки, согласования и утверждения Инструкции о порядке обслуживания и организации движения на железнодорожном пути необщего пользования, а также железнодорож</w:t>
      </w:r>
      <w:r w:rsidRPr="00B17CAA">
        <w:t>ном пути, находящемся в ведении филиала или структурного подразделения ОАО "РЖД".</w:t>
      </w:r>
    </w:p>
    <w:p w:rsidR="00000000" w:rsidRPr="00B17CAA" w:rsidRDefault="00FA36D0"/>
    <w:p w:rsidR="00000000" w:rsidRPr="00B17CAA" w:rsidRDefault="00FA36D0">
      <w:pPr>
        <w:ind w:firstLine="698"/>
        <w:jc w:val="right"/>
      </w:pPr>
      <w:bookmarkStart w:id="82" w:name="sub_2100"/>
      <w:r w:rsidRPr="00B17CAA">
        <w:rPr>
          <w:rStyle w:val="a3"/>
          <w:color w:val="auto"/>
        </w:rPr>
        <w:t>Приложение N 1</w:t>
      </w:r>
      <w:r w:rsidRPr="00B17CAA">
        <w:rPr>
          <w:rStyle w:val="a3"/>
          <w:color w:val="auto"/>
        </w:rPr>
        <w:br/>
        <w:t xml:space="preserve">к </w:t>
      </w:r>
      <w:r w:rsidRPr="00B17CAA">
        <w:rPr>
          <w:rStyle w:val="a4"/>
          <w:color w:val="auto"/>
        </w:rPr>
        <w:t>Инструкции</w:t>
      </w:r>
    </w:p>
    <w:bookmarkEnd w:id="82"/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r w:rsidRPr="00B17CAA">
        <w:rPr>
          <w:color w:val="auto"/>
        </w:rPr>
        <w:t>Схема</w:t>
      </w:r>
      <w:r w:rsidRPr="00B17CAA">
        <w:rPr>
          <w:color w:val="auto"/>
        </w:rPr>
        <w:br/>
        <w:t xml:space="preserve">железнодорожного пути, </w:t>
      </w:r>
      <w:r w:rsidRPr="00B17CAA">
        <w:rPr>
          <w:color w:val="auto"/>
        </w:rPr>
        <w:t>примыкающего к станции____________ ж. д. и используемого ООО "Завод Пресс"</w:t>
      </w:r>
    </w:p>
    <w:p w:rsidR="00000000" w:rsidRPr="00B17CAA" w:rsidRDefault="00FA36D0"/>
    <w:p w:rsidR="00000000" w:rsidRPr="00B17CAA" w:rsidRDefault="00FA36D0">
      <w:r w:rsidRPr="00B17CAA">
        <w:t>(не приводится. - Прим. ред.)</w:t>
      </w:r>
    </w:p>
    <w:p w:rsidR="00000000" w:rsidRPr="00B17CAA" w:rsidRDefault="00FA36D0">
      <w:pPr>
        <w:ind w:firstLine="0"/>
        <w:jc w:val="left"/>
        <w:sectPr w:rsidR="00000000" w:rsidRPr="00B17CAA">
          <w:headerReference w:type="default" r:id="rId7"/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Pr="00B17CAA" w:rsidRDefault="00FA36D0">
      <w:pPr>
        <w:ind w:firstLine="698"/>
        <w:jc w:val="right"/>
      </w:pPr>
      <w:bookmarkStart w:id="83" w:name="sub_2200"/>
      <w:r w:rsidRPr="00B17CAA">
        <w:rPr>
          <w:rStyle w:val="a3"/>
          <w:color w:val="auto"/>
        </w:rPr>
        <w:lastRenderedPageBreak/>
        <w:t>Приложение N 2</w:t>
      </w:r>
      <w:r w:rsidRPr="00B17CAA">
        <w:rPr>
          <w:rStyle w:val="a3"/>
          <w:color w:val="auto"/>
        </w:rPr>
        <w:br/>
        <w:t xml:space="preserve">к </w:t>
      </w:r>
      <w:r w:rsidRPr="00B17CAA">
        <w:rPr>
          <w:rStyle w:val="a4"/>
          <w:color w:val="auto"/>
        </w:rPr>
        <w:t>Инструкции</w:t>
      </w:r>
    </w:p>
    <w:bookmarkEnd w:id="83"/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r w:rsidRPr="00B17CAA">
        <w:rPr>
          <w:color w:val="auto"/>
        </w:rPr>
        <w:t>Ведомость</w:t>
      </w:r>
      <w:r w:rsidRPr="00B17CAA">
        <w:rPr>
          <w:color w:val="auto"/>
        </w:rPr>
        <w:br/>
        <w:t>железнодорожных путей желез</w:t>
      </w:r>
      <w:r w:rsidRPr="00B17CAA">
        <w:rPr>
          <w:color w:val="auto"/>
        </w:rPr>
        <w:t>нодорожного пути, примыкающего к станции ж. д. и используемого ООО "Завод Пресс"</w:t>
      </w:r>
    </w:p>
    <w:p w:rsidR="00000000" w:rsidRPr="00B17CAA" w:rsidRDefault="00FA36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331"/>
        <w:gridCol w:w="1019"/>
        <w:gridCol w:w="1057"/>
        <w:gridCol w:w="975"/>
        <w:gridCol w:w="944"/>
        <w:gridCol w:w="1170"/>
        <w:gridCol w:w="1292"/>
        <w:gridCol w:w="1057"/>
        <w:gridCol w:w="1057"/>
        <w:gridCol w:w="984"/>
        <w:gridCol w:w="1026"/>
        <w:gridCol w:w="1063"/>
        <w:gridCol w:w="1041"/>
      </w:tblGrid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N</w:t>
            </w:r>
            <w:r w:rsidRPr="00B17CAA">
              <w:br/>
              <w:t>пути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Назначение пути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Границы пути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Полная длина, м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Полезная длина, м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Вместимость, усл. ваг.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Вместимость мест погрузки, выгрузки, физ. ваг.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Ми- ним. радиус кривых, м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Максимальный уклон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Тип рельсов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Макс. допуст. скор. движ.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Наличие электрич. изоляции пути</w:t>
            </w: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от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до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в какую сторону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величина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Приемо-отправочный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стр. 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стр. 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696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к стр. 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Р-50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есть</w:t>
            </w: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Погрузочно-выгрузочный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стр. 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упора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522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15 пл, 1 пв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упора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0,8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Р-43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нет</w:t>
            </w:r>
          </w:p>
        </w:tc>
      </w:tr>
    </w:tbl>
    <w:p w:rsidR="00000000" w:rsidRPr="00B17CAA" w:rsidRDefault="00FA36D0">
      <w:pPr>
        <w:ind w:firstLine="0"/>
        <w:jc w:val="left"/>
        <w:rPr>
          <w:rFonts w:ascii="Arial" w:hAnsi="Arial" w:cs="Arial"/>
        </w:rPr>
        <w:sectPr w:rsidR="00000000" w:rsidRPr="00B17CAA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B17CAA" w:rsidRDefault="00FA36D0">
      <w:pPr>
        <w:ind w:firstLine="698"/>
        <w:jc w:val="right"/>
      </w:pPr>
      <w:bookmarkStart w:id="84" w:name="sub_2300"/>
      <w:r w:rsidRPr="00B17CAA">
        <w:rPr>
          <w:rStyle w:val="a3"/>
          <w:color w:val="auto"/>
        </w:rPr>
        <w:lastRenderedPageBreak/>
        <w:t>Приложение N 3</w:t>
      </w:r>
      <w:r w:rsidRPr="00B17CAA">
        <w:rPr>
          <w:rStyle w:val="a3"/>
          <w:color w:val="auto"/>
        </w:rPr>
        <w:br/>
        <w:t xml:space="preserve">к </w:t>
      </w:r>
      <w:r w:rsidRPr="00B17CAA">
        <w:rPr>
          <w:rStyle w:val="a4"/>
          <w:color w:val="auto"/>
        </w:rPr>
        <w:t>Инструкции</w:t>
      </w:r>
    </w:p>
    <w:bookmarkEnd w:id="84"/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r w:rsidRPr="00B17CAA">
        <w:rPr>
          <w:color w:val="auto"/>
        </w:rPr>
        <w:t>Ведомость</w:t>
      </w:r>
      <w:r w:rsidRPr="00B17CAA">
        <w:rPr>
          <w:color w:val="auto"/>
        </w:rPr>
        <w:br/>
        <w:t>стрелочных переводов железнодорожного пути, примыкающего к станции ___________ ж. д. и используемого ООО "Завод Пресс"</w:t>
      </w:r>
    </w:p>
    <w:p w:rsidR="00000000" w:rsidRPr="00B17CAA" w:rsidRDefault="00FA36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101"/>
        <w:gridCol w:w="1702"/>
        <w:gridCol w:w="1001"/>
        <w:gridCol w:w="996"/>
        <w:gridCol w:w="1425"/>
        <w:gridCol w:w="1387"/>
        <w:gridCol w:w="1530"/>
      </w:tblGrid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10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N стрел. перевода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Способ управления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Кто переводит стрелку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Тип рельсов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Марка крестовины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Допускаемая скорость движения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Вид перевода</w:t>
            </w: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10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По прямому пути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На боковой путь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эц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оператор поста ЭЦ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Р-50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1/9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обыкновенный несимметричный левый</w:t>
            </w: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ручной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составитель железнодорожного пути необщего пользования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Р-43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1/9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10 (на 12-й путь)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5 (на 20-й путь)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обыкновенный несимметричный левый</w:t>
            </w:r>
          </w:p>
        </w:tc>
      </w:tr>
    </w:tbl>
    <w:p w:rsidR="00000000" w:rsidRPr="00B17CAA" w:rsidRDefault="00FA36D0"/>
    <w:p w:rsidR="00000000" w:rsidRPr="00B17CAA" w:rsidRDefault="00FA36D0">
      <w:pPr>
        <w:ind w:firstLine="698"/>
        <w:jc w:val="right"/>
      </w:pPr>
      <w:bookmarkStart w:id="85" w:name="sub_2400"/>
      <w:r w:rsidRPr="00B17CAA">
        <w:rPr>
          <w:rStyle w:val="a3"/>
          <w:color w:val="auto"/>
        </w:rPr>
        <w:t>Приложение N 4</w:t>
      </w:r>
      <w:r w:rsidRPr="00B17CAA">
        <w:rPr>
          <w:rStyle w:val="a3"/>
          <w:color w:val="auto"/>
        </w:rPr>
        <w:br/>
        <w:t xml:space="preserve">к </w:t>
      </w:r>
      <w:r w:rsidRPr="00B17CAA">
        <w:rPr>
          <w:rStyle w:val="a4"/>
          <w:color w:val="auto"/>
        </w:rPr>
        <w:t>Инструкции</w:t>
      </w:r>
    </w:p>
    <w:bookmarkEnd w:id="85"/>
    <w:p w:rsidR="00000000" w:rsidRPr="00B17CAA" w:rsidRDefault="00FA36D0"/>
    <w:p w:rsidR="00000000" w:rsidRPr="00B17CAA" w:rsidRDefault="00FA36D0">
      <w:pPr>
        <w:pStyle w:val="1"/>
        <w:rPr>
          <w:color w:val="auto"/>
        </w:rPr>
      </w:pPr>
      <w:r w:rsidRPr="00B17CAA">
        <w:rPr>
          <w:color w:val="auto"/>
        </w:rPr>
        <w:t>Порядок и нормы</w:t>
      </w:r>
      <w:r w:rsidRPr="00B17CAA">
        <w:rPr>
          <w:color w:val="auto"/>
        </w:rPr>
        <w:br/>
        <w:t>закрепления вагонов на железнодоро</w:t>
      </w:r>
      <w:r w:rsidRPr="00B17CAA">
        <w:rPr>
          <w:color w:val="auto"/>
        </w:rPr>
        <w:t>жном пути, примыкающем к станции ж. д. и используемом ООО "Завод Пресс"</w:t>
      </w:r>
    </w:p>
    <w:p w:rsidR="00000000" w:rsidRPr="00B17CAA" w:rsidRDefault="00FA36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976"/>
        <w:gridCol w:w="1219"/>
        <w:gridCol w:w="1147"/>
        <w:gridCol w:w="1276"/>
        <w:gridCol w:w="1131"/>
        <w:gridCol w:w="1881"/>
        <w:gridCol w:w="1950"/>
      </w:tblGrid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N пути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Приведенный уклон, тыс.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С какой стороны производится закрепление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Количество тормозных башмаков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Количество осей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Кто и когда производит закрепление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Кто и когда снимает закрепление</w:t>
            </w: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однородный состав, нагрузка не менее 15 т/ось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неоднородный состав, нагрузка менее 15 т/ось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2,0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со стороны стрелки N 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24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составитель ж. </w:t>
            </w:r>
            <w:r w:rsidRPr="00B17CAA">
              <w:t>д. до отцепки локомотива в присутствии дежурного по железнодорожному пути необщего пользования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c"/>
            </w:pPr>
            <w:r w:rsidRPr="00B17CAA">
              <w:t>составитель ж. д. после прицепки локомотива в присутствии дежурного по железнодорожному пути необщего пользования</w:t>
            </w: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120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48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72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96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</w:tr>
      <w:tr w:rsidR="00B17CAA" w:rsidRPr="00B17CAA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  <w:jc w:val="center"/>
            </w:pPr>
            <w:r w:rsidRPr="00B17CAA">
              <w:t>120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17CAA" w:rsidRDefault="00FA36D0">
            <w:pPr>
              <w:pStyle w:val="aa"/>
            </w:pPr>
          </w:p>
        </w:tc>
      </w:tr>
    </w:tbl>
    <w:p w:rsidR="00FA36D0" w:rsidRPr="00B17CAA" w:rsidRDefault="00FA36D0"/>
    <w:sectPr w:rsidR="00FA36D0" w:rsidRPr="00B17CAA">
      <w:headerReference w:type="default" r:id="rId11"/>
      <w:footerReference w:type="default" r:id="rId1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D0" w:rsidRDefault="00FA36D0">
      <w:r>
        <w:separator/>
      </w:r>
    </w:p>
  </w:endnote>
  <w:endnote w:type="continuationSeparator" w:id="0">
    <w:p w:rsidR="00FA36D0" w:rsidRDefault="00FA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A36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17C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CAA">
            <w:rPr>
              <w:rFonts w:ascii="Times New Roman" w:hAnsi="Times New Roman" w:cs="Times New Roman"/>
              <w:noProof/>
              <w:sz w:val="20"/>
              <w:szCs w:val="20"/>
            </w:rPr>
            <w:t>05.03.2020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36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36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17C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CA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17C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CA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A36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17C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CAA">
            <w:rPr>
              <w:rFonts w:ascii="Times New Roman" w:hAnsi="Times New Roman" w:cs="Times New Roman"/>
              <w:noProof/>
              <w:sz w:val="20"/>
              <w:szCs w:val="20"/>
            </w:rPr>
            <w:t>05.03.2020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36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36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17C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CAA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17C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CA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A36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17C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CAA">
            <w:rPr>
              <w:rFonts w:ascii="Times New Roman" w:hAnsi="Times New Roman" w:cs="Times New Roman"/>
              <w:noProof/>
              <w:sz w:val="20"/>
              <w:szCs w:val="20"/>
            </w:rPr>
            <w:t>05.03.2020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36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36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17C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CA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B17C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CA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D0" w:rsidRDefault="00FA36D0">
      <w:r>
        <w:separator/>
      </w:r>
    </w:p>
  </w:footnote>
  <w:footnote w:type="continuationSeparator" w:id="0">
    <w:p w:rsidR="00FA36D0" w:rsidRDefault="00FA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36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23 декабря 2013 г. N 2859р "О разработке, согласовании и утверждении в ОАО "РЖД"…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36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23 декабря 2013 г. N 2859р "О разработке, согласовании и утверждении в ОАО "РЖД" Инструкции о порядке о</w:t>
    </w:r>
    <w:r>
      <w:rPr>
        <w:rFonts w:ascii="Times New Roman" w:hAnsi="Times New Roman" w:cs="Times New Roman"/>
        <w:sz w:val="20"/>
        <w:szCs w:val="20"/>
      </w:rPr>
      <w:t>бслуживания и организации…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36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23 декабря 2013 г. N 2859р "О разработке, согласовании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AA"/>
    <w:rsid w:val="00B17CAA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0E7510-BD09-4767-BFD9-FC2747C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Примак Александр Борисович</cp:lastModifiedBy>
  <cp:revision>2</cp:revision>
  <dcterms:created xsi:type="dcterms:W3CDTF">2020-03-05T06:02:00Z</dcterms:created>
  <dcterms:modified xsi:type="dcterms:W3CDTF">2020-03-05T06:02:00Z</dcterms:modified>
</cp:coreProperties>
</file>